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20"/>
          <w:sz w:val="36"/>
          <w:szCs w:val="36"/>
        </w:rPr>
      </w:pPr>
      <w:bookmarkStart w:id="0" w:name="_Toc250213648"/>
      <w:r>
        <w:rPr>
          <w:rFonts w:hint="eastAsia" w:ascii="宋体" w:hAnsi="宋体"/>
          <w:b/>
          <w:spacing w:val="20"/>
          <w:sz w:val="36"/>
          <w:szCs w:val="36"/>
          <w:lang w:eastAsia="zh-CN"/>
        </w:rPr>
        <w:t>西北大学</w:t>
      </w:r>
      <w:r>
        <w:rPr>
          <w:rFonts w:hint="eastAsia" w:ascii="宋体" w:hAnsi="宋体"/>
          <w:b/>
          <w:spacing w:val="20"/>
          <w:sz w:val="36"/>
          <w:szCs w:val="36"/>
        </w:rPr>
        <w:t>学术</w:t>
      </w:r>
      <w:r>
        <w:rPr>
          <w:rFonts w:hint="eastAsia" w:ascii="宋体" w:hAnsi="宋体"/>
          <w:b/>
          <w:spacing w:val="20"/>
          <w:sz w:val="36"/>
          <w:szCs w:val="36"/>
          <w:lang w:eastAsia="zh-CN"/>
        </w:rPr>
        <w:t>学位</w:t>
      </w:r>
      <w:r>
        <w:rPr>
          <w:rFonts w:hint="eastAsia" w:ascii="宋体" w:hAnsi="宋体"/>
          <w:b/>
          <w:spacing w:val="20"/>
          <w:sz w:val="36"/>
          <w:szCs w:val="36"/>
        </w:rPr>
        <w:t>研究生(含博士、</w:t>
      </w:r>
      <w:r>
        <w:rPr>
          <w:rFonts w:ascii="宋体" w:hAnsi="宋体"/>
          <w:b/>
          <w:spacing w:val="20"/>
          <w:sz w:val="36"/>
          <w:szCs w:val="36"/>
        </w:rPr>
        <w:t>硕士</w:t>
      </w:r>
      <w:r>
        <w:rPr>
          <w:rFonts w:hint="eastAsia" w:ascii="宋体" w:hAnsi="宋体"/>
          <w:b/>
          <w:spacing w:val="20"/>
          <w:sz w:val="36"/>
          <w:szCs w:val="36"/>
        </w:rPr>
        <w:t>)</w:t>
      </w:r>
    </w:p>
    <w:p>
      <w:pPr>
        <w:jc w:val="center"/>
        <w:rPr>
          <w:rFonts w:ascii="宋体" w:hAnsi="宋体"/>
          <w:b/>
          <w:spacing w:val="20"/>
          <w:sz w:val="36"/>
          <w:szCs w:val="36"/>
        </w:rPr>
      </w:pPr>
      <w:r>
        <w:rPr>
          <w:rFonts w:hint="eastAsia" w:ascii="宋体" w:hAnsi="宋体"/>
          <w:b/>
          <w:spacing w:val="20"/>
          <w:sz w:val="36"/>
          <w:szCs w:val="36"/>
        </w:rPr>
        <w:t>培养方案总体</w:t>
      </w:r>
      <w:bookmarkEnd w:id="0"/>
      <w:r>
        <w:rPr>
          <w:rFonts w:hint="eastAsia" w:ascii="宋体" w:hAnsi="宋体"/>
          <w:b/>
          <w:spacing w:val="20"/>
          <w:sz w:val="36"/>
          <w:szCs w:val="36"/>
          <w:lang w:eastAsia="zh-CN"/>
        </w:rPr>
        <w:t>要求（</w:t>
      </w:r>
      <w:r>
        <w:rPr>
          <w:rFonts w:hint="eastAsia" w:ascii="宋体" w:hAnsi="宋体"/>
          <w:b/>
          <w:spacing w:val="20"/>
          <w:sz w:val="36"/>
          <w:szCs w:val="36"/>
        </w:rPr>
        <w:t>201</w:t>
      </w:r>
      <w:r>
        <w:rPr>
          <w:rFonts w:hint="eastAsia" w:ascii="宋体" w:hAnsi="宋体"/>
          <w:b/>
          <w:spacing w:val="20"/>
          <w:sz w:val="36"/>
          <w:szCs w:val="36"/>
          <w:lang w:val="en-US" w:eastAsia="zh-CN"/>
        </w:rPr>
        <w:t>8</w:t>
      </w:r>
      <w:r>
        <w:rPr>
          <w:rFonts w:hint="eastAsia" w:ascii="宋体" w:hAnsi="宋体"/>
          <w:b/>
          <w:spacing w:val="20"/>
          <w:sz w:val="36"/>
          <w:szCs w:val="36"/>
        </w:rPr>
        <w:t>版)</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研究生培养方案包括学科简介</w:t>
      </w:r>
      <w:r>
        <w:rPr>
          <w:rFonts w:hint="eastAsia" w:ascii="仿宋_GB2312" w:hAnsi="楷体" w:eastAsia="仿宋_GB2312"/>
          <w:sz w:val="28"/>
          <w:szCs w:val="28"/>
          <w:lang w:eastAsia="zh-CN"/>
        </w:rPr>
        <w:t>、</w:t>
      </w:r>
      <w:r>
        <w:rPr>
          <w:rFonts w:hint="eastAsia" w:ascii="仿宋_GB2312" w:hAnsi="楷体" w:eastAsia="仿宋_GB2312"/>
          <w:sz w:val="28"/>
          <w:szCs w:val="28"/>
        </w:rPr>
        <w:t>培养目标、研究方向</w:t>
      </w:r>
      <w:r>
        <w:rPr>
          <w:rFonts w:hint="eastAsia" w:ascii="仿宋_GB2312" w:hAnsi="楷体" w:eastAsia="仿宋_GB2312"/>
          <w:sz w:val="28"/>
          <w:szCs w:val="28"/>
          <w:lang w:eastAsia="zh-CN"/>
        </w:rPr>
        <w:t>、培养年限</w:t>
      </w:r>
      <w:r>
        <w:rPr>
          <w:rFonts w:hint="eastAsia" w:ascii="仿宋_GB2312" w:hAnsi="楷体" w:eastAsia="仿宋_GB2312"/>
          <w:sz w:val="28"/>
          <w:szCs w:val="28"/>
        </w:rPr>
        <w:t>、课程</w:t>
      </w:r>
      <w:r>
        <w:rPr>
          <w:rFonts w:hint="eastAsia" w:ascii="仿宋_GB2312" w:hAnsi="楷体" w:eastAsia="仿宋_GB2312"/>
          <w:sz w:val="28"/>
          <w:szCs w:val="28"/>
          <w:lang w:eastAsia="zh-CN"/>
        </w:rPr>
        <w:t>体系</w:t>
      </w:r>
      <w:r>
        <w:rPr>
          <w:rFonts w:hint="eastAsia" w:ascii="仿宋_GB2312" w:hAnsi="楷体" w:eastAsia="仿宋_GB2312"/>
          <w:sz w:val="28"/>
          <w:szCs w:val="28"/>
        </w:rPr>
        <w:t>设置与学分要求、</w:t>
      </w:r>
      <w:r>
        <w:rPr>
          <w:rFonts w:hint="eastAsia" w:ascii="仿宋_GB2312" w:hAnsi="楷体" w:eastAsia="仿宋_GB2312"/>
          <w:sz w:val="28"/>
          <w:szCs w:val="28"/>
          <w:lang w:eastAsia="zh-CN"/>
        </w:rPr>
        <w:t>必修环节、学位论文环节以及课程简介与教学大纲</w:t>
      </w:r>
      <w:r>
        <w:rPr>
          <w:rFonts w:hint="eastAsia" w:ascii="仿宋_GB2312" w:hAnsi="楷体" w:eastAsia="仿宋_GB2312"/>
          <w:sz w:val="28"/>
          <w:szCs w:val="28"/>
        </w:rPr>
        <w:t>八个部分。</w:t>
      </w:r>
      <w:bookmarkStart w:id="1" w:name="_GoBack"/>
      <w:bookmarkEnd w:id="1"/>
    </w:p>
    <w:p>
      <w:pPr>
        <w:topLinePunct/>
        <w:spacing w:line="480" w:lineRule="auto"/>
        <w:ind w:firstLine="562" w:firstLineChars="200"/>
        <w:contextualSpacing/>
        <w:jc w:val="left"/>
        <w:textAlignment w:val="top"/>
        <w:rPr>
          <w:rFonts w:hint="eastAsia" w:ascii="仿宋_GB2312" w:hAnsi="Times New Roman" w:eastAsia="仿宋_GB2312" w:cs="Times New Roman"/>
          <w:b/>
          <w:bCs/>
          <w:kern w:val="2"/>
          <w:sz w:val="28"/>
          <w:szCs w:val="28"/>
          <w:lang w:val="en-US" w:eastAsia="zh-CN" w:bidi="ar-SA"/>
        </w:rPr>
      </w:pPr>
      <w:r>
        <w:rPr>
          <w:rFonts w:hint="eastAsia" w:ascii="仿宋_GB2312" w:hAnsi="Times New Roman" w:eastAsia="仿宋_GB2312" w:cs="Times New Roman"/>
          <w:b/>
          <w:bCs/>
          <w:kern w:val="2"/>
          <w:sz w:val="28"/>
          <w:szCs w:val="28"/>
          <w:lang w:val="en-US" w:eastAsia="zh-CN" w:bidi="ar-SA"/>
        </w:rPr>
        <w:t>一、学科简介</w:t>
      </w:r>
    </w:p>
    <w:p>
      <w:pPr>
        <w:spacing w:line="560" w:lineRule="exact"/>
        <w:ind w:firstLine="560" w:firstLineChars="200"/>
        <w:rPr>
          <w:rFonts w:hint="eastAsia" w:ascii="仿宋_GB2312" w:hAnsi="宋体" w:eastAsia="仿宋_GB2312"/>
          <w:sz w:val="28"/>
          <w:szCs w:val="28"/>
        </w:rPr>
      </w:pPr>
      <w:r>
        <w:rPr>
          <w:rFonts w:hint="eastAsia" w:ascii="仿宋_GB2312" w:hAnsi="楷体" w:eastAsia="仿宋_GB2312"/>
          <w:sz w:val="28"/>
          <w:szCs w:val="28"/>
        </w:rPr>
        <w:t>简要介绍学科的发展历史、主要研究领域和特色、师资队伍、科研条件以</w:t>
      </w:r>
      <w:r>
        <w:rPr>
          <w:rFonts w:hint="eastAsia" w:ascii="仿宋_GB2312" w:hAnsi="楷体" w:eastAsia="仿宋_GB2312"/>
          <w:sz w:val="28"/>
          <w:szCs w:val="28"/>
          <w:lang w:eastAsia="zh-CN"/>
        </w:rPr>
        <w:t>、</w:t>
      </w:r>
      <w:r>
        <w:rPr>
          <w:rFonts w:hint="eastAsia" w:ascii="仿宋_GB2312" w:hAnsi="楷体" w:eastAsia="仿宋_GB2312"/>
          <w:sz w:val="28"/>
          <w:szCs w:val="28"/>
        </w:rPr>
        <w:t>已培养研究生情况</w:t>
      </w:r>
      <w:r>
        <w:rPr>
          <w:rFonts w:hint="eastAsia" w:ascii="仿宋_GB2312" w:hAnsi="楷体" w:eastAsia="仿宋_GB2312"/>
          <w:sz w:val="28"/>
          <w:szCs w:val="28"/>
          <w:lang w:eastAsia="zh-CN"/>
        </w:rPr>
        <w:t>、</w:t>
      </w:r>
      <w:r>
        <w:rPr>
          <w:rFonts w:hint="eastAsia" w:ascii="仿宋_GB2312" w:hAnsi="楷体" w:eastAsia="仿宋_GB2312"/>
          <w:sz w:val="28"/>
          <w:szCs w:val="28"/>
        </w:rPr>
        <w:t>就业方向以及其它需要说明的情况（400字以内）</w:t>
      </w:r>
      <w:r>
        <w:rPr>
          <w:rFonts w:hint="eastAsia" w:ascii="仿宋_GB2312" w:hAnsi="楷体" w:eastAsia="仿宋_GB2312"/>
          <w:sz w:val="28"/>
          <w:szCs w:val="28"/>
          <w:lang w:eastAsia="zh-CN"/>
        </w:rPr>
        <w:t>。</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二、</w:t>
      </w:r>
      <w:r>
        <w:rPr>
          <w:rFonts w:hint="eastAsia" w:ascii="仿宋_GB2312" w:eastAsia="仿宋_GB2312"/>
          <w:sz w:val="28"/>
          <w:szCs w:val="28"/>
        </w:rPr>
        <w:t>培养目标</w:t>
      </w:r>
    </w:p>
    <w:p>
      <w:pPr>
        <w:spacing w:line="560" w:lineRule="exact"/>
        <w:ind w:firstLine="560" w:firstLineChars="200"/>
        <w:rPr>
          <w:rFonts w:hint="eastAsia" w:ascii="仿宋_GB2312" w:hAnsi="楷体" w:eastAsia="仿宋_GB2312"/>
          <w:sz w:val="28"/>
          <w:szCs w:val="28"/>
          <w:lang w:eastAsia="zh-CN"/>
        </w:rPr>
      </w:pPr>
      <w:r>
        <w:rPr>
          <w:rFonts w:hint="eastAsia" w:ascii="仿宋_GB2312" w:hAnsi="楷体" w:eastAsia="仿宋_GB2312"/>
          <w:sz w:val="28"/>
          <w:szCs w:val="28"/>
        </w:rPr>
        <w:t>根据教育部有关规定和我校研究生培养总体目标的要求，一方面对研究生在思想品德、团队合作、科学思想、基础理论、专业知识、独立工作能力、实践能力、创新能力等提出要求，另一方面要体现本学科在高层次人才培养方面的理念和特色。（150字以内）</w:t>
      </w:r>
      <w:r>
        <w:rPr>
          <w:rFonts w:hint="eastAsia" w:ascii="仿宋_GB2312" w:hAnsi="楷体" w:eastAsia="仿宋_GB2312"/>
          <w:sz w:val="28"/>
          <w:szCs w:val="28"/>
          <w:lang w:eastAsia="zh-CN"/>
        </w:rPr>
        <w:t>。</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三、</w:t>
      </w:r>
      <w:r>
        <w:rPr>
          <w:rFonts w:hint="eastAsia" w:ascii="仿宋_GB2312" w:eastAsia="仿宋_GB2312"/>
          <w:sz w:val="28"/>
          <w:szCs w:val="28"/>
        </w:rPr>
        <w:t>主要研究方向</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列出学科的主要研究方向，应体现学科的特色。研究方向设置要科学、规范</w:t>
      </w:r>
      <w:r>
        <w:rPr>
          <w:rFonts w:hint="eastAsia" w:ascii="仿宋_GB2312" w:hAnsi="楷体" w:eastAsia="仿宋_GB2312"/>
          <w:sz w:val="28"/>
          <w:szCs w:val="28"/>
          <w:lang w:eastAsia="zh-CN"/>
        </w:rPr>
        <w:t>、</w:t>
      </w:r>
      <w:r>
        <w:rPr>
          <w:rFonts w:hint="eastAsia" w:ascii="仿宋_GB2312" w:hAnsi="楷体" w:eastAsia="仿宋_GB2312"/>
          <w:sz w:val="28"/>
          <w:szCs w:val="28"/>
        </w:rPr>
        <w:t>相对稳定</w:t>
      </w:r>
      <w:r>
        <w:rPr>
          <w:rFonts w:hint="eastAsia" w:ascii="仿宋_GB2312" w:hAnsi="楷体" w:eastAsia="仿宋_GB2312"/>
          <w:sz w:val="28"/>
          <w:szCs w:val="28"/>
          <w:lang w:eastAsia="zh-CN"/>
        </w:rPr>
        <w:t>能引导学科发展和社会需求。</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四、</w:t>
      </w:r>
      <w:r>
        <w:rPr>
          <w:rFonts w:hint="eastAsia" w:ascii="仿宋_GB2312" w:eastAsia="仿宋_GB2312"/>
          <w:sz w:val="28"/>
          <w:szCs w:val="28"/>
        </w:rPr>
        <w:t>培养年限</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1.博士研究生学制为3</w:t>
      </w:r>
      <w:r>
        <w:rPr>
          <w:rFonts w:hint="eastAsia" w:ascii="仿宋_GB2312" w:hAnsi="楷体" w:eastAsia="仿宋_GB2312"/>
          <w:sz w:val="28"/>
          <w:szCs w:val="28"/>
          <w:lang w:val="en-US" w:eastAsia="zh-CN"/>
        </w:rPr>
        <w:t>-5</w:t>
      </w:r>
      <w:r>
        <w:rPr>
          <w:rFonts w:hint="eastAsia" w:ascii="仿宋_GB2312" w:hAnsi="楷体" w:eastAsia="仿宋_GB2312"/>
          <w:sz w:val="28"/>
          <w:szCs w:val="28"/>
        </w:rPr>
        <w:t>年，累计学习年限最长为7年。</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2.硕士研究生学制为3年，累计学习年限最长为5年。</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五、</w:t>
      </w:r>
      <w:r>
        <w:rPr>
          <w:rFonts w:hint="eastAsia" w:ascii="仿宋_GB2312" w:eastAsia="仿宋_GB2312"/>
          <w:sz w:val="28"/>
          <w:szCs w:val="28"/>
        </w:rPr>
        <w:t>课程</w:t>
      </w:r>
      <w:r>
        <w:rPr>
          <w:rFonts w:hint="eastAsia" w:ascii="仿宋_GB2312" w:eastAsia="仿宋_GB2312"/>
          <w:sz w:val="28"/>
          <w:szCs w:val="28"/>
          <w:lang w:eastAsia="zh-CN"/>
        </w:rPr>
        <w:t>体系</w:t>
      </w:r>
      <w:r>
        <w:rPr>
          <w:rFonts w:hint="eastAsia" w:ascii="仿宋_GB2312" w:eastAsia="仿宋_GB2312"/>
          <w:sz w:val="28"/>
          <w:szCs w:val="28"/>
        </w:rPr>
        <w:t>设置</w:t>
      </w:r>
    </w:p>
    <w:p>
      <w:pPr>
        <w:spacing w:line="560" w:lineRule="exact"/>
        <w:ind w:firstLine="560" w:firstLineChars="200"/>
        <w:rPr>
          <w:rFonts w:hint="eastAsia" w:ascii="仿宋_GB2312" w:hAnsi="楷体" w:eastAsia="仿宋_GB2312"/>
          <w:sz w:val="28"/>
          <w:szCs w:val="28"/>
          <w:lang w:eastAsia="zh-CN"/>
        </w:rPr>
      </w:pPr>
      <w:r>
        <w:rPr>
          <w:rFonts w:hint="eastAsia" w:ascii="仿宋_GB2312" w:hAnsi="楷体" w:eastAsia="仿宋_GB2312"/>
          <w:sz w:val="28"/>
          <w:szCs w:val="28"/>
          <w:lang w:eastAsia="zh-CN"/>
        </w:rPr>
        <w:t>课程体系设置应符合国务院学位委员会《学位授权审核申请基本条件》中对各学科的课程与教学的要求，紧密围绕人才培养目标，坚持顶层设计、系统规划。</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lang w:eastAsia="zh-CN"/>
        </w:rPr>
        <w:t>研究生课程由公共必修课、公共选修课、专业平台课、专业方向课四</w:t>
      </w:r>
      <w:r>
        <w:rPr>
          <w:rFonts w:hint="eastAsia" w:ascii="仿宋_GB2312" w:hAnsi="楷体" w:eastAsia="仿宋_GB2312"/>
          <w:sz w:val="28"/>
          <w:szCs w:val="28"/>
        </w:rPr>
        <w:t>部分构成。其中，</w:t>
      </w:r>
      <w:r>
        <w:rPr>
          <w:rFonts w:hint="eastAsia" w:ascii="仿宋_GB2312" w:hAnsi="楷体" w:eastAsia="仿宋_GB2312"/>
          <w:sz w:val="28"/>
          <w:szCs w:val="28"/>
          <w:lang w:eastAsia="zh-CN"/>
        </w:rPr>
        <w:t>公共必修课程包含思想政治理论课和第一外国语课程；公共选修课包含研究生院开设的选修课以及</w:t>
      </w:r>
      <w:r>
        <w:rPr>
          <w:rFonts w:hint="eastAsia" w:ascii="仿宋_GB2312" w:hAnsi="楷体" w:eastAsia="仿宋_GB2312"/>
          <w:sz w:val="28"/>
          <w:szCs w:val="28"/>
        </w:rPr>
        <w:t>跨</w:t>
      </w:r>
      <w:r>
        <w:rPr>
          <w:rFonts w:hint="eastAsia" w:ascii="仿宋_GB2312" w:hAnsi="楷体" w:eastAsia="仿宋_GB2312"/>
          <w:sz w:val="28"/>
          <w:szCs w:val="28"/>
          <w:lang w:eastAsia="zh-CN"/>
        </w:rPr>
        <w:t>学科</w:t>
      </w:r>
      <w:r>
        <w:rPr>
          <w:rFonts w:hint="eastAsia" w:ascii="仿宋_GB2312" w:hAnsi="楷体" w:eastAsia="仿宋_GB2312"/>
          <w:sz w:val="28"/>
          <w:szCs w:val="28"/>
        </w:rPr>
        <w:t>门类课程</w:t>
      </w:r>
      <w:r>
        <w:rPr>
          <w:rFonts w:hint="eastAsia" w:ascii="仿宋_GB2312" w:hAnsi="楷体" w:eastAsia="仿宋_GB2312"/>
          <w:sz w:val="28"/>
          <w:szCs w:val="28"/>
          <w:lang w:eastAsia="zh-CN"/>
        </w:rPr>
        <w:t>；专业平台课指一级学科（或二级学科）下所有培养方向研究生选修课程，专业方向课指某一培养方向研究生的选修课程。</w:t>
      </w:r>
    </w:p>
    <w:p>
      <w:pPr>
        <w:spacing w:line="560" w:lineRule="exact"/>
        <w:ind w:firstLine="560" w:firstLineChars="200"/>
        <w:rPr>
          <w:rFonts w:hint="eastAsia" w:ascii="仿宋_GB2312" w:hAnsi="楷体" w:eastAsia="仿宋_GB2312"/>
          <w:sz w:val="28"/>
          <w:szCs w:val="28"/>
          <w:lang w:eastAsia="zh-CN"/>
        </w:rPr>
      </w:pPr>
      <w:r>
        <w:rPr>
          <w:rFonts w:hint="eastAsia" w:ascii="仿宋_GB2312" w:hAnsi="楷体" w:eastAsia="仿宋_GB2312"/>
          <w:sz w:val="28"/>
          <w:szCs w:val="28"/>
          <w:lang w:eastAsia="zh-CN"/>
        </w:rPr>
        <w:t>为保证课程体系的科学性与完整性，课程设置坚持总量适度原则，每门课程一般为</w:t>
      </w:r>
      <w:r>
        <w:rPr>
          <w:rFonts w:hint="eastAsia" w:ascii="仿宋_GB2312" w:hAnsi="楷体" w:eastAsia="仿宋_GB2312"/>
          <w:sz w:val="28"/>
          <w:szCs w:val="28"/>
          <w:lang w:val="en-US" w:eastAsia="zh-CN"/>
        </w:rPr>
        <w:t>2-3学分，</w:t>
      </w:r>
      <w:r>
        <w:rPr>
          <w:rFonts w:hint="eastAsia" w:ascii="仿宋_GB2312" w:hAnsi="楷体" w:eastAsia="仿宋_GB2312"/>
          <w:sz w:val="28"/>
          <w:szCs w:val="28"/>
        </w:rPr>
        <w:t>原则上每18个学时</w:t>
      </w:r>
      <w:r>
        <w:rPr>
          <w:rFonts w:hint="eastAsia" w:ascii="仿宋_GB2312" w:hAnsi="楷体" w:eastAsia="仿宋_GB2312"/>
          <w:sz w:val="28"/>
          <w:szCs w:val="28"/>
          <w:lang w:eastAsia="zh-CN"/>
        </w:rPr>
        <w:t>计</w:t>
      </w:r>
      <w:r>
        <w:rPr>
          <w:rFonts w:hint="eastAsia" w:ascii="仿宋_GB2312" w:hAnsi="楷体" w:eastAsia="仿宋_GB2312"/>
          <w:sz w:val="28"/>
          <w:szCs w:val="28"/>
        </w:rPr>
        <w:t>1个学分</w:t>
      </w:r>
      <w:r>
        <w:rPr>
          <w:rFonts w:hint="eastAsia" w:ascii="仿宋_GB2312" w:hAnsi="楷体" w:eastAsia="仿宋_GB2312"/>
          <w:sz w:val="28"/>
          <w:szCs w:val="28"/>
          <w:lang w:eastAsia="zh-CN"/>
        </w:rPr>
        <w:t>。</w:t>
      </w:r>
    </w:p>
    <w:p>
      <w:pPr>
        <w:numPr>
          <w:ilvl w:val="0"/>
          <w:numId w:val="1"/>
        </w:numPr>
        <w:spacing w:line="560" w:lineRule="exact"/>
        <w:ind w:firstLine="420" w:firstLineChars="0"/>
        <w:rPr>
          <w:rFonts w:hint="eastAsia" w:ascii="仿宋_GB2312" w:hAnsi="楷体" w:eastAsia="仿宋_GB2312"/>
          <w:b/>
          <w:bCs/>
          <w:sz w:val="28"/>
          <w:szCs w:val="28"/>
          <w:lang w:val="en-US" w:eastAsia="zh-CN"/>
        </w:rPr>
      </w:pPr>
      <w:r>
        <w:rPr>
          <w:rFonts w:hint="eastAsia" w:ascii="仿宋_GB2312" w:hAnsi="楷体" w:eastAsia="仿宋_GB2312"/>
          <w:b/>
          <w:bCs/>
          <w:sz w:val="28"/>
          <w:szCs w:val="28"/>
          <w:lang w:val="en-US" w:eastAsia="zh-CN"/>
        </w:rPr>
        <w:t>公共必修课</w:t>
      </w:r>
    </w:p>
    <w:p>
      <w:pPr>
        <w:numPr>
          <w:ilvl w:val="0"/>
          <w:numId w:val="2"/>
        </w:numPr>
        <w:spacing w:line="560" w:lineRule="exact"/>
        <w:ind w:firstLine="420" w:firstLineChars="0"/>
        <w:rPr>
          <w:rFonts w:hint="eastAsia" w:ascii="仿宋_GB2312" w:hAnsi="楷体" w:eastAsia="仿宋_GB2312"/>
          <w:b/>
          <w:bCs/>
          <w:sz w:val="28"/>
          <w:szCs w:val="28"/>
          <w:lang w:val="en-US" w:eastAsia="zh-CN"/>
        </w:rPr>
      </w:pPr>
      <w:r>
        <w:rPr>
          <w:rFonts w:hint="eastAsia" w:ascii="仿宋_GB2312" w:hAnsi="楷体" w:eastAsia="仿宋_GB2312"/>
          <w:b/>
          <w:bCs/>
          <w:sz w:val="28"/>
          <w:szCs w:val="28"/>
          <w:lang w:val="en-US" w:eastAsia="zh-CN"/>
        </w:rPr>
        <w:t>政治理论课</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所有硕士研究生必修《中国特色社会主义理论与实践研究》，2学分；《自然辩证法》与《马克思主义与社会科学方法论》必选1门，1学分。</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所有博士研究生必修《马克思主义与当代》，2学分。本科直博生还须修完硕士研究生政治理论课。</w:t>
      </w:r>
    </w:p>
    <w:p>
      <w:pPr>
        <w:numPr>
          <w:ilvl w:val="0"/>
          <w:numId w:val="2"/>
        </w:numPr>
        <w:spacing w:line="560" w:lineRule="exact"/>
        <w:ind w:firstLine="560" w:firstLineChars="0"/>
        <w:rPr>
          <w:rFonts w:hint="eastAsia" w:ascii="仿宋_GB2312" w:hAnsi="楷体" w:eastAsia="仿宋_GB2312"/>
          <w:b/>
          <w:bCs/>
          <w:sz w:val="28"/>
          <w:szCs w:val="28"/>
          <w:lang w:val="en-US" w:eastAsia="zh-CN"/>
        </w:rPr>
      </w:pPr>
      <w:r>
        <w:rPr>
          <w:rFonts w:hint="eastAsia" w:ascii="仿宋_GB2312" w:hAnsi="楷体" w:eastAsia="仿宋_GB2312"/>
          <w:b/>
          <w:bCs/>
          <w:sz w:val="28"/>
          <w:szCs w:val="28"/>
          <w:lang w:val="en-US" w:eastAsia="zh-CN"/>
        </w:rPr>
        <w:t>第一外国语</w:t>
      </w:r>
    </w:p>
    <w:p>
      <w:pPr>
        <w:numPr>
          <w:ilvl w:val="0"/>
          <w:numId w:val="0"/>
        </w:numPr>
        <w:spacing w:line="560" w:lineRule="exact"/>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 xml:space="preserve">     第一外国语为英语的研究生参照《西北大学（非英语专业）学术学位博、硕士研究生英语课程教学改革实施方案》（西大研﹝2017﹞7号）执行，博士研究生必修《学术论文写作与国际会议》，2学分；硕士研究生分两学期选修2门英语课程或1门《托福》《雅思》课程，4学分。</w:t>
      </w:r>
    </w:p>
    <w:p>
      <w:pPr>
        <w:numPr>
          <w:ilvl w:val="0"/>
          <w:numId w:val="0"/>
        </w:numPr>
        <w:spacing w:line="560" w:lineRule="exact"/>
        <w:ind w:firstLine="420" w:firstLineChars="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 xml:space="preserve"> 第一外语为小语种的研究生选修相对应《日语一外》《俄语一外》《阿拉伯语一外》课程，博士研究生必修2学分，硕士研究生必修4学分。</w:t>
      </w:r>
    </w:p>
    <w:p>
      <w:pPr>
        <w:numPr>
          <w:ilvl w:val="0"/>
          <w:numId w:val="0"/>
        </w:numPr>
        <w:spacing w:line="560" w:lineRule="exact"/>
        <w:ind w:firstLine="562" w:firstLineChars="200"/>
        <w:rPr>
          <w:rFonts w:hint="eastAsia" w:ascii="仿宋_GB2312" w:hAnsi="楷体" w:eastAsia="仿宋_GB2312"/>
          <w:b/>
          <w:bCs/>
          <w:sz w:val="28"/>
          <w:szCs w:val="28"/>
          <w:lang w:val="en-US" w:eastAsia="zh-CN"/>
        </w:rPr>
      </w:pPr>
      <w:r>
        <w:rPr>
          <w:rFonts w:hint="eastAsia" w:ascii="仿宋_GB2312" w:hAnsi="楷体" w:eastAsia="仿宋_GB2312"/>
          <w:b/>
          <w:bCs/>
          <w:sz w:val="28"/>
          <w:szCs w:val="28"/>
          <w:lang w:val="en-US" w:eastAsia="zh-CN"/>
        </w:rPr>
        <w:t>2.公共选修课</w:t>
      </w:r>
    </w:p>
    <w:p>
      <w:pPr>
        <w:numPr>
          <w:ilvl w:val="0"/>
          <w:numId w:val="0"/>
        </w:numPr>
        <w:spacing w:line="560" w:lineRule="exact"/>
        <w:ind w:firstLine="56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学校开设《户外运动》《瑜伽》等体育类选修课以及《日语》《俄语》《中国传统文化》选修课，每门课程36学时，2学分。所有研究生可根据个人需求选修学校开设的选修课程及跨学科门类课程，最多计2学分。</w:t>
      </w:r>
    </w:p>
    <w:p>
      <w:pPr>
        <w:numPr>
          <w:ilvl w:val="0"/>
          <w:numId w:val="0"/>
        </w:numPr>
        <w:spacing w:line="560" w:lineRule="exact"/>
        <w:ind w:firstLine="562" w:firstLineChars="200"/>
        <w:rPr>
          <w:rFonts w:hint="eastAsia" w:ascii="仿宋_GB2312" w:hAnsi="楷体" w:eastAsia="仿宋_GB2312"/>
          <w:b/>
          <w:bCs/>
          <w:sz w:val="28"/>
          <w:szCs w:val="28"/>
          <w:lang w:val="en-US" w:eastAsia="zh-CN"/>
        </w:rPr>
      </w:pPr>
      <w:r>
        <w:rPr>
          <w:rFonts w:hint="eastAsia" w:ascii="仿宋_GB2312" w:hAnsi="楷体" w:eastAsia="仿宋_GB2312"/>
          <w:b/>
          <w:bCs/>
          <w:sz w:val="28"/>
          <w:szCs w:val="28"/>
          <w:lang w:val="en-US" w:eastAsia="zh-CN"/>
        </w:rPr>
        <w:t>3.专业平台课及方向课</w:t>
      </w:r>
    </w:p>
    <w:p>
      <w:pPr>
        <w:numPr>
          <w:ilvl w:val="0"/>
          <w:numId w:val="0"/>
        </w:numPr>
        <w:spacing w:line="560" w:lineRule="exact"/>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 xml:space="preserve">    专业平台课及方向课设置应体现本学科的基础理论、专业知识以及研究前沿。各学科应结合自身实际情况设置最低学分要求。</w:t>
      </w:r>
    </w:p>
    <w:p>
      <w:pPr>
        <w:pStyle w:val="3"/>
        <w:numPr>
          <w:ilvl w:val="0"/>
          <w:numId w:val="0"/>
        </w:numPr>
        <w:spacing w:before="0" w:after="0" w:line="560" w:lineRule="exact"/>
        <w:ind w:firstLine="482" w:firstLineChars="200"/>
        <w:jc w:val="center"/>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表1 课程体系及最低学分要求</w:t>
      </w:r>
    </w:p>
    <w:tbl>
      <w:tblPr>
        <w:tblStyle w:val="12"/>
        <w:tblW w:w="86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91"/>
        <w:gridCol w:w="2415"/>
        <w:gridCol w:w="1665"/>
        <w:gridCol w:w="157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915" w:type="dxa"/>
            <w:gridSpan w:val="3"/>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名称</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硕士研究生</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博士研究生</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本科直博生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00" w:type="dxa"/>
            <w:gridSpan w:val="2"/>
            <w:vMerge w:val="restart"/>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公共必修课</w:t>
            </w:r>
          </w:p>
        </w:tc>
        <w:tc>
          <w:tcPr>
            <w:tcW w:w="241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政治理论课</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3学分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2学分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00" w:type="dxa"/>
            <w:gridSpan w:val="2"/>
            <w:vMerge w:val="continue"/>
            <w:vAlign w:val="center"/>
          </w:tcPr>
          <w:p>
            <w:pPr>
              <w:numPr>
                <w:ilvl w:val="0"/>
                <w:numId w:val="0"/>
              </w:numPr>
              <w:spacing w:line="560" w:lineRule="exact"/>
              <w:jc w:val="center"/>
              <w:rPr>
                <w:rFonts w:hint="eastAsia" w:ascii="仿宋_GB2312" w:hAnsi="楷体" w:eastAsia="仿宋_GB2312"/>
                <w:sz w:val="24"/>
                <w:szCs w:val="24"/>
                <w:lang w:val="en-US" w:eastAsia="zh-CN"/>
              </w:rPr>
            </w:pPr>
          </w:p>
        </w:tc>
        <w:tc>
          <w:tcPr>
            <w:tcW w:w="241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第一外国语</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4学分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2学分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00" w:type="dxa"/>
            <w:gridSpan w:val="2"/>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公共选修课</w:t>
            </w:r>
          </w:p>
        </w:tc>
        <w:tc>
          <w:tcPr>
            <w:tcW w:w="2415" w:type="dxa"/>
            <w:vAlign w:val="center"/>
          </w:tcPr>
          <w:p>
            <w:pPr>
              <w:numPr>
                <w:ilvl w:val="0"/>
                <w:numId w:val="0"/>
              </w:numPr>
              <w:spacing w:line="360" w:lineRule="auto"/>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学校开设的选修课以及跨门类课程</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default" w:ascii="仿宋_GB2312" w:hAnsi="楷体" w:eastAsia="仿宋_GB2312"/>
                <w:sz w:val="24"/>
                <w:szCs w:val="24"/>
                <w:lang w:val="en-US" w:eastAsia="zh-CN"/>
              </w:rPr>
              <w:t>≤</w:t>
            </w:r>
            <w:r>
              <w:rPr>
                <w:rFonts w:hint="eastAsia" w:ascii="仿宋_GB2312" w:hAnsi="楷体" w:eastAsia="仿宋_GB2312"/>
                <w:sz w:val="24"/>
                <w:szCs w:val="24"/>
                <w:lang w:val="en-US" w:eastAsia="zh-CN"/>
              </w:rPr>
              <w:t xml:space="preserve"> 2学分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default" w:ascii="仿宋_GB2312" w:hAnsi="楷体" w:eastAsia="仿宋_GB2312"/>
                <w:sz w:val="24"/>
                <w:szCs w:val="24"/>
                <w:lang w:val="en-US" w:eastAsia="zh-CN"/>
              </w:rPr>
              <w:t>≤</w:t>
            </w:r>
            <w:r>
              <w:rPr>
                <w:rFonts w:hint="eastAsia" w:ascii="仿宋_GB2312" w:hAnsi="楷体" w:eastAsia="仿宋_GB2312"/>
                <w:sz w:val="24"/>
                <w:szCs w:val="24"/>
                <w:lang w:val="en-US" w:eastAsia="zh-CN"/>
              </w:rPr>
              <w:t xml:space="preserve"> 2学分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default" w:ascii="仿宋_GB2312" w:hAnsi="楷体" w:eastAsia="仿宋_GB2312"/>
                <w:sz w:val="24"/>
                <w:szCs w:val="24"/>
                <w:lang w:val="en-US" w:eastAsia="zh-CN"/>
              </w:rPr>
              <w:t>≤</w:t>
            </w:r>
            <w:r>
              <w:rPr>
                <w:rFonts w:hint="eastAsia" w:ascii="仿宋_GB2312" w:hAnsi="楷体" w:eastAsia="仿宋_GB2312"/>
                <w:sz w:val="24"/>
                <w:szCs w:val="24"/>
                <w:lang w:val="en-US" w:eastAsia="zh-CN"/>
              </w:rPr>
              <w:t xml:space="preserve"> 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500" w:type="dxa"/>
            <w:gridSpan w:val="2"/>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专业课</w:t>
            </w:r>
          </w:p>
        </w:tc>
        <w:tc>
          <w:tcPr>
            <w:tcW w:w="241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平台课+方向课</w:t>
            </w:r>
          </w:p>
        </w:tc>
        <w:tc>
          <w:tcPr>
            <w:tcW w:w="166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≥21学分</w:t>
            </w:r>
          </w:p>
        </w:tc>
        <w:tc>
          <w:tcPr>
            <w:tcW w:w="157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≥11学分</w:t>
            </w:r>
          </w:p>
        </w:tc>
        <w:tc>
          <w:tcPr>
            <w:tcW w:w="1530"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≥21学分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915" w:type="dxa"/>
            <w:gridSpan w:val="3"/>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课程总学分</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≥28学分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≥15学分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≥30学分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09" w:type="dxa"/>
            <w:vMerge w:val="restart"/>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必修环节</w:t>
            </w:r>
          </w:p>
        </w:tc>
        <w:tc>
          <w:tcPr>
            <w:tcW w:w="2606" w:type="dxa"/>
            <w:gridSpan w:val="2"/>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科研活动环节</w:t>
            </w:r>
          </w:p>
        </w:tc>
        <w:tc>
          <w:tcPr>
            <w:tcW w:w="166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7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30"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09" w:type="dxa"/>
            <w:vMerge w:val="continue"/>
            <w:vAlign w:val="center"/>
          </w:tcPr>
          <w:p>
            <w:pPr>
              <w:numPr>
                <w:ilvl w:val="0"/>
                <w:numId w:val="0"/>
              </w:numPr>
              <w:spacing w:line="560" w:lineRule="exact"/>
              <w:jc w:val="center"/>
              <w:rPr>
                <w:rFonts w:hint="eastAsia" w:ascii="仿宋_GB2312" w:hAnsi="楷体" w:eastAsia="仿宋_GB2312"/>
                <w:sz w:val="24"/>
                <w:szCs w:val="24"/>
                <w:lang w:val="en-US" w:eastAsia="zh-CN"/>
              </w:rPr>
            </w:pPr>
          </w:p>
        </w:tc>
        <w:tc>
          <w:tcPr>
            <w:tcW w:w="2606" w:type="dxa"/>
            <w:gridSpan w:val="2"/>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学术活动环节</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09" w:type="dxa"/>
            <w:vMerge w:val="continue"/>
            <w:vAlign w:val="center"/>
          </w:tcPr>
          <w:p>
            <w:pPr>
              <w:numPr>
                <w:ilvl w:val="0"/>
                <w:numId w:val="0"/>
              </w:numPr>
              <w:spacing w:line="560" w:lineRule="exact"/>
              <w:jc w:val="center"/>
              <w:rPr>
                <w:rFonts w:hint="eastAsia" w:ascii="仿宋_GB2312" w:hAnsi="楷体" w:eastAsia="仿宋_GB2312"/>
                <w:sz w:val="24"/>
                <w:szCs w:val="24"/>
                <w:lang w:val="en-US" w:eastAsia="zh-CN"/>
              </w:rPr>
            </w:pPr>
          </w:p>
        </w:tc>
        <w:tc>
          <w:tcPr>
            <w:tcW w:w="2606" w:type="dxa"/>
            <w:gridSpan w:val="2"/>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实践环节</w:t>
            </w:r>
          </w:p>
        </w:tc>
        <w:tc>
          <w:tcPr>
            <w:tcW w:w="166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75"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c>
          <w:tcPr>
            <w:tcW w:w="1530" w:type="dxa"/>
            <w:vAlign w:val="center"/>
          </w:tcPr>
          <w:p>
            <w:pPr>
              <w:numPr>
                <w:ilvl w:val="0"/>
                <w:numId w:val="0"/>
              </w:numPr>
              <w:spacing w:line="560" w:lineRule="exact"/>
              <w:ind w:left="0" w:leftChars="0" w:firstLine="0" w:firstLineChars="0"/>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915" w:type="dxa"/>
            <w:gridSpan w:val="3"/>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总学分</w:t>
            </w:r>
          </w:p>
        </w:tc>
        <w:tc>
          <w:tcPr>
            <w:tcW w:w="166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≥31学分</w:t>
            </w:r>
          </w:p>
        </w:tc>
        <w:tc>
          <w:tcPr>
            <w:tcW w:w="1575"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≥18学分</w:t>
            </w:r>
          </w:p>
        </w:tc>
        <w:tc>
          <w:tcPr>
            <w:tcW w:w="1530" w:type="dxa"/>
            <w:vAlign w:val="center"/>
          </w:tcPr>
          <w:p>
            <w:pPr>
              <w:numPr>
                <w:ilvl w:val="0"/>
                <w:numId w:val="0"/>
              </w:numPr>
              <w:spacing w:line="560" w:lineRule="exact"/>
              <w:jc w:val="center"/>
              <w:rPr>
                <w:rFonts w:hint="eastAsia" w:ascii="仿宋_GB2312" w:hAnsi="楷体" w:eastAsia="仿宋_GB2312"/>
                <w:sz w:val="24"/>
                <w:szCs w:val="24"/>
                <w:lang w:val="en-US" w:eastAsia="zh-CN"/>
              </w:rPr>
            </w:pPr>
            <w:r>
              <w:rPr>
                <w:rFonts w:hint="eastAsia" w:ascii="仿宋_GB2312" w:hAnsi="楷体" w:eastAsia="仿宋_GB2312"/>
                <w:sz w:val="24"/>
                <w:szCs w:val="24"/>
                <w:lang w:val="en-US" w:eastAsia="zh-CN"/>
              </w:rPr>
              <w:t>≥33学分</w:t>
            </w:r>
          </w:p>
        </w:tc>
      </w:tr>
    </w:tbl>
    <w:p>
      <w:pPr>
        <w:topLinePunct/>
        <w:spacing w:line="360" w:lineRule="auto"/>
        <w:ind w:firstLine="442" w:firstLineChars="200"/>
        <w:contextualSpacing/>
        <w:jc w:val="left"/>
        <w:textAlignment w:val="top"/>
        <w:rPr>
          <w:rFonts w:hint="eastAsia" w:ascii="宋体" w:hAnsi="宋体"/>
          <w:b/>
          <w:sz w:val="22"/>
        </w:rPr>
      </w:pP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六、必修</w:t>
      </w:r>
      <w:r>
        <w:rPr>
          <w:rFonts w:hint="eastAsia" w:ascii="仿宋_GB2312" w:eastAsia="仿宋_GB2312"/>
          <w:sz w:val="28"/>
          <w:szCs w:val="28"/>
        </w:rPr>
        <w:t>环节</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按照《西北大学全日制研究生培养工作规定》（校发</w:t>
      </w:r>
      <w:r>
        <w:rPr>
          <w:rFonts w:hint="eastAsia" w:ascii="仿宋_GB2312" w:hAnsi="楷体" w:eastAsia="仿宋_GB2312"/>
          <w:sz w:val="28"/>
          <w:szCs w:val="28"/>
          <w:lang w:val="en-US" w:eastAsia="zh-CN"/>
        </w:rPr>
        <w:t>﹝</w:t>
      </w:r>
      <w:r>
        <w:rPr>
          <w:rFonts w:hint="eastAsia" w:ascii="仿宋_GB2312" w:hAnsi="楷体" w:eastAsia="仿宋_GB2312"/>
          <w:sz w:val="28"/>
          <w:szCs w:val="28"/>
        </w:rPr>
        <w:t>200</w:t>
      </w:r>
      <w:r>
        <w:rPr>
          <w:rFonts w:hint="eastAsia" w:ascii="仿宋_GB2312" w:hAnsi="楷体" w:eastAsia="仿宋_GB2312"/>
          <w:sz w:val="28"/>
          <w:szCs w:val="28"/>
          <w:lang w:val="en-US" w:eastAsia="zh-CN"/>
        </w:rPr>
        <w:t>8﹞</w:t>
      </w:r>
      <w:r>
        <w:rPr>
          <w:rFonts w:hint="eastAsia" w:ascii="仿宋_GB2312" w:hAnsi="楷体" w:eastAsia="仿宋_GB2312"/>
          <w:sz w:val="28"/>
          <w:szCs w:val="28"/>
        </w:rPr>
        <w:t>研</w:t>
      </w:r>
      <w:r>
        <w:rPr>
          <w:rFonts w:hint="eastAsia" w:ascii="仿宋_GB2312" w:hAnsi="楷体" w:eastAsia="仿宋_GB2312"/>
          <w:sz w:val="28"/>
          <w:szCs w:val="28"/>
          <w:lang w:eastAsia="zh-CN"/>
        </w:rPr>
        <w:t>字</w:t>
      </w:r>
      <w:r>
        <w:rPr>
          <w:rFonts w:hint="eastAsia" w:ascii="仿宋_GB2312" w:hAnsi="楷体" w:eastAsia="仿宋_GB2312"/>
          <w:sz w:val="28"/>
          <w:szCs w:val="28"/>
        </w:rPr>
        <w:t>13号）的要求，研究生应进行科研</w:t>
      </w:r>
      <w:r>
        <w:rPr>
          <w:rFonts w:hint="eastAsia" w:ascii="仿宋_GB2312" w:hAnsi="楷体" w:eastAsia="仿宋_GB2312"/>
          <w:sz w:val="28"/>
          <w:szCs w:val="28"/>
          <w:lang w:eastAsia="zh-CN"/>
        </w:rPr>
        <w:t>、学术及实践</w:t>
      </w:r>
      <w:r>
        <w:rPr>
          <w:rFonts w:hint="eastAsia" w:ascii="仿宋_GB2312" w:hAnsi="楷体" w:eastAsia="仿宋_GB2312"/>
          <w:sz w:val="28"/>
          <w:szCs w:val="28"/>
        </w:rPr>
        <w:t>活动，</w:t>
      </w:r>
      <w:r>
        <w:rPr>
          <w:rFonts w:hint="eastAsia" w:ascii="仿宋_GB2312" w:hAnsi="楷体" w:eastAsia="仿宋_GB2312"/>
          <w:sz w:val="28"/>
          <w:szCs w:val="28"/>
          <w:lang w:eastAsia="zh-CN"/>
        </w:rPr>
        <w:t>考核合格后获得</w:t>
      </w:r>
      <w:r>
        <w:rPr>
          <w:rFonts w:hint="eastAsia" w:ascii="仿宋_GB2312" w:hAnsi="楷体" w:eastAsia="仿宋_GB2312"/>
          <w:sz w:val="28"/>
          <w:szCs w:val="28"/>
          <w:lang w:val="en-US" w:eastAsia="zh-CN"/>
        </w:rPr>
        <w:t>3</w:t>
      </w:r>
      <w:r>
        <w:rPr>
          <w:rFonts w:hint="eastAsia" w:ascii="仿宋_GB2312" w:hAnsi="楷体" w:eastAsia="仿宋_GB2312"/>
          <w:sz w:val="28"/>
          <w:szCs w:val="28"/>
        </w:rPr>
        <w:t>个学分。</w:t>
      </w:r>
    </w:p>
    <w:p>
      <w:pPr>
        <w:spacing w:line="288" w:lineRule="auto"/>
        <w:ind w:firstLine="562"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cs="Times New Roman"/>
          <w:b/>
          <w:bCs/>
          <w:kern w:val="2"/>
          <w:sz w:val="28"/>
          <w:szCs w:val="28"/>
          <w:lang w:val="en-US" w:eastAsia="zh-CN" w:bidi="ar-SA"/>
        </w:rPr>
        <w:t>1.科研活动（1学分）</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lang w:eastAsia="zh-CN"/>
        </w:rPr>
        <w:t>理工类研究生</w:t>
      </w:r>
      <w:r>
        <w:rPr>
          <w:rFonts w:hint="eastAsia" w:ascii="仿宋_GB2312" w:hAnsi="楷体" w:eastAsia="仿宋_GB2312"/>
          <w:sz w:val="28"/>
          <w:szCs w:val="28"/>
        </w:rPr>
        <w:t>必须至少参加1项科研课题研究，由课题负责人对其科研工作进行考核并写出评语，考核合格</w:t>
      </w:r>
      <w:r>
        <w:rPr>
          <w:rFonts w:hint="eastAsia" w:ascii="仿宋_GB2312" w:hAnsi="楷体" w:eastAsia="仿宋_GB2312"/>
          <w:sz w:val="28"/>
          <w:szCs w:val="28"/>
          <w:lang w:eastAsia="zh-CN"/>
        </w:rPr>
        <w:t>后获</w:t>
      </w:r>
      <w:r>
        <w:rPr>
          <w:rFonts w:hint="eastAsia" w:ascii="仿宋_GB2312" w:hAnsi="楷体" w:eastAsia="仿宋_GB2312"/>
          <w:sz w:val="28"/>
          <w:szCs w:val="28"/>
        </w:rPr>
        <w:t>得1个学分。</w:t>
      </w:r>
      <w:r>
        <w:rPr>
          <w:rFonts w:hint="eastAsia" w:ascii="仿宋_GB2312" w:hAnsi="楷体" w:eastAsia="仿宋_GB2312"/>
          <w:sz w:val="28"/>
          <w:szCs w:val="28"/>
          <w:lang w:eastAsia="zh-CN"/>
        </w:rPr>
        <w:t>文史类研究生必须</w:t>
      </w:r>
      <w:r>
        <w:rPr>
          <w:rFonts w:hint="eastAsia" w:ascii="仿宋_GB2312" w:hAnsi="楷体" w:eastAsia="仿宋_GB2312"/>
          <w:sz w:val="28"/>
          <w:szCs w:val="28"/>
          <w:lang w:val="en-US" w:eastAsia="zh-CN"/>
        </w:rPr>
        <w:t>完成1项与本学科相关的研究工作，具体形式可为参与科研课题研究、古籍整理、撰写研究报告、决策咨询报告、社会调研等，各学科可根据实际情况作出具体要求，由指导教师进行考核，考核合格后获得1个学分。</w:t>
      </w:r>
    </w:p>
    <w:p>
      <w:pPr>
        <w:numPr>
          <w:numId w:val="0"/>
        </w:numPr>
        <w:spacing w:line="288" w:lineRule="auto"/>
        <w:ind w:firstLine="562"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cs="Times New Roman"/>
          <w:b/>
          <w:bCs/>
          <w:kern w:val="2"/>
          <w:sz w:val="28"/>
          <w:szCs w:val="28"/>
          <w:lang w:val="en-US" w:eastAsia="zh-CN" w:bidi="ar-SA"/>
        </w:rPr>
        <w:t>2.学术活动（1学分）</w:t>
      </w:r>
    </w:p>
    <w:p>
      <w:pPr>
        <w:numPr>
          <w:numId w:val="0"/>
        </w:numPr>
        <w:spacing w:line="288" w:lineRule="auto"/>
        <w:ind w:firstLine="560"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sz w:val="28"/>
          <w:szCs w:val="28"/>
          <w:lang w:eastAsia="zh-CN"/>
        </w:rPr>
        <w:t>研究生在学期间须完成以下学术活动，</w:t>
      </w:r>
      <w:r>
        <w:rPr>
          <w:rFonts w:hint="eastAsia" w:ascii="仿宋_GB2312" w:hAnsi="楷体" w:eastAsia="仿宋_GB2312"/>
          <w:sz w:val="28"/>
          <w:szCs w:val="28"/>
          <w:lang w:val="en-US" w:eastAsia="zh-CN"/>
        </w:rPr>
        <w:t>由院系活动组织者或导师负责记录考核，考核合格后获得1个学分。</w:t>
      </w:r>
    </w:p>
    <w:p>
      <w:pPr>
        <w:spacing w:line="560" w:lineRule="exact"/>
        <w:ind w:firstLine="560" w:firstLineChars="200"/>
        <w:rPr>
          <w:rFonts w:hint="eastAsia" w:ascii="仿宋_GB2312" w:hAnsi="楷体" w:eastAsia="仿宋_GB2312"/>
          <w:sz w:val="28"/>
          <w:szCs w:val="28"/>
          <w:lang w:eastAsia="zh-CN"/>
        </w:rPr>
      </w:pPr>
      <w:r>
        <w:rPr>
          <w:rFonts w:hint="eastAsia" w:ascii="仿宋_GB2312" w:hAnsi="楷体" w:eastAsia="仿宋_GB2312"/>
          <w:sz w:val="28"/>
          <w:szCs w:val="28"/>
          <w:lang w:eastAsia="zh-CN"/>
        </w:rPr>
        <w:t>（</w:t>
      </w:r>
      <w:r>
        <w:rPr>
          <w:rFonts w:hint="eastAsia" w:ascii="仿宋_GB2312" w:hAnsi="楷体" w:eastAsia="仿宋_GB2312"/>
          <w:sz w:val="28"/>
          <w:szCs w:val="28"/>
          <w:lang w:val="en-US" w:eastAsia="zh-CN"/>
        </w:rPr>
        <w:t>1</w:t>
      </w:r>
      <w:r>
        <w:rPr>
          <w:rFonts w:hint="eastAsia" w:ascii="仿宋_GB2312" w:hAnsi="楷体" w:eastAsia="仿宋_GB2312"/>
          <w:sz w:val="28"/>
          <w:szCs w:val="28"/>
          <w:lang w:eastAsia="zh-CN"/>
        </w:rPr>
        <w:t>）</w:t>
      </w:r>
      <w:r>
        <w:rPr>
          <w:rFonts w:hint="eastAsia" w:ascii="仿宋_GB2312" w:hAnsi="楷体" w:eastAsia="仿宋_GB2312"/>
          <w:sz w:val="28"/>
          <w:szCs w:val="28"/>
        </w:rPr>
        <w:t>应</w:t>
      </w:r>
      <w:r>
        <w:rPr>
          <w:rFonts w:hint="eastAsia" w:ascii="仿宋_GB2312" w:hAnsi="楷体" w:eastAsia="仿宋_GB2312"/>
          <w:sz w:val="28"/>
          <w:szCs w:val="28"/>
          <w:lang w:eastAsia="zh-CN"/>
        </w:rPr>
        <w:t>至少</w:t>
      </w:r>
      <w:r>
        <w:rPr>
          <w:rFonts w:hint="eastAsia" w:ascii="仿宋_GB2312" w:hAnsi="楷体" w:eastAsia="仿宋_GB2312"/>
          <w:sz w:val="28"/>
          <w:szCs w:val="28"/>
        </w:rPr>
        <w:t>参加10次</w:t>
      </w:r>
      <w:r>
        <w:rPr>
          <w:rFonts w:hint="eastAsia" w:ascii="仿宋_GB2312" w:hAnsi="楷体" w:eastAsia="仿宋_GB2312"/>
          <w:sz w:val="28"/>
          <w:szCs w:val="28"/>
          <w:lang w:eastAsia="zh-CN"/>
        </w:rPr>
        <w:t>由学校或院系组织的</w:t>
      </w:r>
      <w:r>
        <w:rPr>
          <w:rFonts w:hint="eastAsia" w:ascii="仿宋_GB2312" w:hAnsi="楷体" w:eastAsia="仿宋_GB2312"/>
          <w:sz w:val="28"/>
          <w:szCs w:val="28"/>
        </w:rPr>
        <w:t>学术报告或学术沙龙</w:t>
      </w:r>
      <w:r>
        <w:rPr>
          <w:rFonts w:hint="eastAsia" w:ascii="仿宋_GB2312" w:hAnsi="楷体" w:eastAsia="仿宋_GB2312"/>
          <w:sz w:val="28"/>
          <w:szCs w:val="28"/>
          <w:lang w:eastAsia="zh-CN"/>
        </w:rPr>
        <w:t>活动；</w:t>
      </w:r>
    </w:p>
    <w:p>
      <w:pPr>
        <w:spacing w:line="560" w:lineRule="exact"/>
        <w:ind w:firstLine="560" w:firstLineChars="200"/>
        <w:rPr>
          <w:rFonts w:hint="eastAsia" w:ascii="仿宋_GB2312" w:hAnsi="楷体" w:eastAsia="仿宋_GB2312"/>
          <w:sz w:val="28"/>
          <w:szCs w:val="28"/>
          <w:highlight w:val="none"/>
        </w:rPr>
      </w:pPr>
      <w:r>
        <w:rPr>
          <w:rFonts w:hint="eastAsia" w:ascii="仿宋_GB2312" w:hAnsi="楷体" w:eastAsia="仿宋_GB2312"/>
          <w:sz w:val="28"/>
          <w:szCs w:val="28"/>
          <w:lang w:eastAsia="zh-CN"/>
        </w:rPr>
        <w:t>（</w:t>
      </w:r>
      <w:r>
        <w:rPr>
          <w:rFonts w:hint="eastAsia" w:ascii="仿宋_GB2312" w:hAnsi="楷体" w:eastAsia="仿宋_GB2312"/>
          <w:sz w:val="28"/>
          <w:szCs w:val="28"/>
          <w:lang w:val="en-US" w:eastAsia="zh-CN"/>
        </w:rPr>
        <w:t>2</w:t>
      </w:r>
      <w:r>
        <w:rPr>
          <w:rFonts w:hint="eastAsia" w:ascii="仿宋_GB2312" w:hAnsi="楷体" w:eastAsia="仿宋_GB2312"/>
          <w:sz w:val="28"/>
          <w:szCs w:val="28"/>
          <w:lang w:eastAsia="zh-CN"/>
        </w:rPr>
        <w:t>）应至少参加</w:t>
      </w:r>
      <w:r>
        <w:rPr>
          <w:rFonts w:hint="eastAsia" w:ascii="仿宋_GB2312" w:hAnsi="楷体" w:eastAsia="仿宋_GB2312"/>
          <w:sz w:val="28"/>
          <w:szCs w:val="28"/>
        </w:rPr>
        <w:t>1次学校学术月活动</w:t>
      </w:r>
      <w:r>
        <w:rPr>
          <w:rFonts w:hint="eastAsia" w:ascii="仿宋_GB2312" w:hAnsi="楷体" w:eastAsia="仿宋_GB2312"/>
          <w:sz w:val="28"/>
          <w:szCs w:val="28"/>
          <w:highlight w:val="none"/>
        </w:rPr>
        <w:t>并提交论文</w:t>
      </w:r>
      <w:r>
        <w:rPr>
          <w:rFonts w:hint="eastAsia" w:ascii="仿宋_GB2312" w:hAnsi="楷体" w:eastAsia="仿宋_GB2312"/>
          <w:sz w:val="28"/>
          <w:szCs w:val="28"/>
          <w:highlight w:val="none"/>
          <w:lang w:eastAsia="zh-CN"/>
        </w:rPr>
        <w:t>；</w:t>
      </w:r>
    </w:p>
    <w:p>
      <w:p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highlight w:val="none"/>
          <w:lang w:eastAsia="zh-CN"/>
        </w:rPr>
        <w:t>（</w:t>
      </w:r>
      <w:r>
        <w:rPr>
          <w:rFonts w:hint="eastAsia" w:ascii="仿宋_GB2312" w:hAnsi="楷体" w:eastAsia="仿宋_GB2312"/>
          <w:sz w:val="28"/>
          <w:szCs w:val="28"/>
          <w:highlight w:val="none"/>
          <w:lang w:val="en-US" w:eastAsia="zh-CN"/>
        </w:rPr>
        <w:t>3</w:t>
      </w:r>
      <w:r>
        <w:rPr>
          <w:rFonts w:hint="eastAsia" w:ascii="仿宋_GB2312" w:hAnsi="楷体" w:eastAsia="仿宋_GB2312"/>
          <w:sz w:val="28"/>
          <w:szCs w:val="28"/>
          <w:highlight w:val="none"/>
          <w:lang w:eastAsia="zh-CN"/>
        </w:rPr>
        <w:t>）</w:t>
      </w:r>
      <w:r>
        <w:rPr>
          <w:rFonts w:hint="eastAsia" w:ascii="仿宋_GB2312" w:hAnsi="楷体" w:eastAsia="仿宋_GB2312"/>
          <w:sz w:val="28"/>
          <w:szCs w:val="28"/>
          <w:lang w:eastAsia="zh-CN"/>
        </w:rPr>
        <w:t>应在一定范围内主讲</w:t>
      </w:r>
      <w:r>
        <w:rPr>
          <w:rFonts w:hint="eastAsia" w:ascii="仿宋_GB2312" w:hAnsi="楷体" w:eastAsia="仿宋_GB2312"/>
          <w:sz w:val="28"/>
          <w:szCs w:val="28"/>
          <w:lang w:val="en-US" w:eastAsia="zh-CN"/>
        </w:rPr>
        <w:t>1次学术报告；</w:t>
      </w:r>
    </w:p>
    <w:p>
      <w:p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（4）应撰写1篇学科发展综述报告。</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lang w:val="en-US" w:eastAsia="zh-CN"/>
        </w:rPr>
        <w:t>学校鼓励研究生参加国际高水平学术会议，研究生在高水平国际会议上宣读学术论文者可直接获得学术活动的学分。</w:t>
      </w:r>
    </w:p>
    <w:p>
      <w:pPr>
        <w:spacing w:line="288" w:lineRule="auto"/>
        <w:ind w:firstLine="562"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cs="Times New Roman"/>
          <w:b/>
          <w:bCs/>
          <w:kern w:val="2"/>
          <w:sz w:val="28"/>
          <w:szCs w:val="28"/>
          <w:lang w:val="en-US" w:eastAsia="zh-CN" w:bidi="ar-SA"/>
        </w:rPr>
        <w:t>3.实践活动（1学分）</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研究生应参加实践活动，由导师或院系研究生管理人员负责考核，考核合格后获得1个学分。主要形式有：</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1.讲课、辅导、协助指导本科生的实验和毕业论文等；</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2.深入社会基层从事于所学专业相关的技术指导、社会服务等；</w:t>
      </w:r>
    </w:p>
    <w:p>
      <w:pPr>
        <w:numPr>
          <w:ilvl w:val="0"/>
          <w:numId w:val="0"/>
        </w:numPr>
        <w:spacing w:line="560" w:lineRule="exact"/>
        <w:ind w:firstLine="560" w:firstLineChars="200"/>
        <w:rPr>
          <w:rFonts w:hint="eastAsia" w:ascii="仿宋_GB2312" w:hAnsi="楷体" w:eastAsia="仿宋_GB2312"/>
          <w:sz w:val="28"/>
          <w:szCs w:val="28"/>
          <w:lang w:val="en-US" w:eastAsia="zh-CN"/>
        </w:rPr>
      </w:pPr>
      <w:r>
        <w:rPr>
          <w:rFonts w:hint="eastAsia" w:ascii="仿宋_GB2312" w:hAnsi="楷体" w:eastAsia="仿宋_GB2312"/>
          <w:sz w:val="28"/>
          <w:szCs w:val="28"/>
          <w:lang w:val="en-US" w:eastAsia="zh-CN"/>
        </w:rPr>
        <w:t>3.研究生各类社团活动、文体活动的组织、学科竞赛活动的组织和参与等。</w:t>
      </w:r>
    </w:p>
    <w:p>
      <w:pPr>
        <w:pStyle w:val="3"/>
        <w:spacing w:before="0" w:after="0" w:line="560" w:lineRule="exact"/>
        <w:ind w:firstLine="562" w:firstLineChars="200"/>
        <w:rPr>
          <w:rFonts w:hint="eastAsia" w:ascii="仿宋_GB2312" w:eastAsia="仿宋_GB2312"/>
          <w:sz w:val="28"/>
          <w:szCs w:val="28"/>
          <w:lang w:eastAsia="zh-CN"/>
        </w:rPr>
      </w:pPr>
      <w:r>
        <w:rPr>
          <w:rFonts w:hint="eastAsia" w:ascii="仿宋_GB2312" w:eastAsia="仿宋_GB2312"/>
          <w:sz w:val="28"/>
          <w:szCs w:val="28"/>
          <w:lang w:eastAsia="zh-CN"/>
        </w:rPr>
        <w:t>七、学位论文环节</w:t>
      </w:r>
    </w:p>
    <w:p>
      <w:pPr>
        <w:spacing w:line="288" w:lineRule="auto"/>
        <w:ind w:firstLine="562"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cs="Times New Roman"/>
          <w:b/>
          <w:bCs/>
          <w:kern w:val="2"/>
          <w:sz w:val="28"/>
          <w:szCs w:val="28"/>
          <w:lang w:val="en-US" w:eastAsia="zh-CN" w:bidi="ar-SA"/>
        </w:rPr>
        <w:t>1.学位论文开题</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lang w:eastAsia="zh-CN"/>
        </w:rPr>
        <w:t>学位论文开题是形成高质量学位论文的基础和重要保证，各</w:t>
      </w:r>
      <w:r>
        <w:rPr>
          <w:rFonts w:hint="eastAsia" w:ascii="仿宋_GB2312" w:eastAsia="仿宋_GB2312"/>
          <w:sz w:val="28"/>
          <w:szCs w:val="28"/>
        </w:rPr>
        <w:t>培养单位要认真安排，落实研究生导师在开题中的权责，切实为研究生学位论文选题把好关。</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博士研究生须在导师指导下，以撰写国家基金申请书的形式完成对研究内容的论证,并在此基础上进行开题报告，开题报告一般应于第三学期末完成。人文社科类博士生撰写《国家社会科学基金申请书》，自然科学类博士生撰写《国家自然科学基金申请书》。答辩通过后</w:t>
      </w:r>
      <w:r>
        <w:rPr>
          <w:rFonts w:hint="eastAsia" w:ascii="仿宋_GB2312" w:hAnsi="楷体" w:eastAsia="仿宋_GB2312"/>
          <w:sz w:val="28"/>
          <w:szCs w:val="28"/>
          <w:lang w:eastAsia="zh-CN"/>
        </w:rPr>
        <w:t>至少</w:t>
      </w:r>
      <w:r>
        <w:rPr>
          <w:rFonts w:hint="eastAsia" w:ascii="仿宋_GB2312" w:hAnsi="楷体" w:eastAsia="仿宋_GB2312"/>
          <w:sz w:val="28"/>
          <w:szCs w:val="28"/>
          <w:lang w:val="en-US" w:eastAsia="zh-CN"/>
        </w:rPr>
        <w:t>18个月</w:t>
      </w:r>
      <w:r>
        <w:rPr>
          <w:rFonts w:hint="eastAsia" w:ascii="仿宋_GB2312" w:hAnsi="楷体" w:eastAsia="仿宋_GB2312"/>
          <w:sz w:val="28"/>
          <w:szCs w:val="28"/>
        </w:rPr>
        <w:t>可申请学位论文答辩。</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硕士研究生开题报告一般应于第四学期末完成，且答辩通过后至少</w:t>
      </w:r>
      <w:r>
        <w:rPr>
          <w:rFonts w:hint="eastAsia" w:ascii="仿宋_GB2312" w:hAnsi="楷体" w:eastAsia="仿宋_GB2312"/>
          <w:sz w:val="28"/>
          <w:szCs w:val="28"/>
          <w:lang w:val="en-US" w:eastAsia="zh-CN"/>
        </w:rPr>
        <w:t>12个月</w:t>
      </w:r>
      <w:r>
        <w:rPr>
          <w:rFonts w:hint="eastAsia" w:ascii="仿宋_GB2312" w:hAnsi="楷体" w:eastAsia="仿宋_GB2312"/>
          <w:sz w:val="28"/>
          <w:szCs w:val="28"/>
        </w:rPr>
        <w:t>方可申请学位论文答辩。</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各学科应对本学科研究生学位论文选题和开题的基本要求及进行开题报告的方式等做出具体规定。</w:t>
      </w:r>
    </w:p>
    <w:p>
      <w:pPr>
        <w:spacing w:line="288" w:lineRule="auto"/>
        <w:ind w:firstLine="562" w:firstLineChars="200"/>
        <w:rPr>
          <w:rFonts w:hint="eastAsia" w:ascii="仿宋_GB2312" w:hAnsi="楷体" w:eastAsia="仿宋_GB2312" w:cs="Times New Roman"/>
          <w:b/>
          <w:bCs/>
          <w:kern w:val="2"/>
          <w:sz w:val="28"/>
          <w:szCs w:val="28"/>
          <w:lang w:val="en-US" w:eastAsia="zh-CN" w:bidi="ar-SA"/>
        </w:rPr>
      </w:pPr>
      <w:r>
        <w:rPr>
          <w:rFonts w:hint="eastAsia" w:ascii="仿宋_GB2312" w:hAnsi="楷体" w:eastAsia="仿宋_GB2312" w:cs="Times New Roman"/>
          <w:b/>
          <w:bCs/>
          <w:kern w:val="2"/>
          <w:sz w:val="28"/>
          <w:szCs w:val="28"/>
          <w:lang w:val="en-US" w:eastAsia="zh-CN" w:bidi="ar-SA"/>
        </w:rPr>
        <w:t>2.学位论文答辩及学位授予</w:t>
      </w:r>
    </w:p>
    <w:p>
      <w:pPr>
        <w:ind w:firstLine="560" w:firstLineChars="200"/>
        <w:rPr>
          <w:rFonts w:hint="eastAsia"/>
          <w:lang w:eastAsia="zh-CN"/>
        </w:rPr>
      </w:pPr>
      <w:r>
        <w:rPr>
          <w:rFonts w:hint="eastAsia" w:ascii="仿宋_GB2312" w:hAnsi="楷体" w:eastAsia="仿宋_GB2312"/>
          <w:sz w:val="28"/>
          <w:szCs w:val="28"/>
          <w:lang w:eastAsia="zh-CN"/>
        </w:rPr>
        <w:t>各学科应</w:t>
      </w:r>
      <w:r>
        <w:rPr>
          <w:rFonts w:hint="eastAsia" w:ascii="仿宋_GB2312" w:hAnsi="楷体" w:eastAsia="仿宋_GB2312"/>
          <w:sz w:val="28"/>
          <w:szCs w:val="28"/>
        </w:rPr>
        <w:t>按照《西北大学学位授予工作细则》（校发</w:t>
      </w:r>
      <w:r>
        <w:rPr>
          <w:rFonts w:hint="eastAsia" w:ascii="仿宋_GB2312" w:hAnsi="楷体" w:eastAsia="仿宋_GB2312"/>
          <w:sz w:val="28"/>
          <w:szCs w:val="28"/>
          <w:lang w:val="en-US" w:eastAsia="zh-CN"/>
        </w:rPr>
        <w:t>﹝</w:t>
      </w:r>
      <w:r>
        <w:rPr>
          <w:rFonts w:hint="eastAsia" w:ascii="仿宋_GB2312" w:hAnsi="楷体" w:eastAsia="仿宋_GB2312"/>
          <w:sz w:val="28"/>
          <w:szCs w:val="28"/>
        </w:rPr>
        <w:t>2007</w:t>
      </w:r>
      <w:r>
        <w:rPr>
          <w:rFonts w:hint="eastAsia" w:ascii="仿宋_GB2312" w:hAnsi="楷体" w:eastAsia="仿宋_GB2312"/>
          <w:sz w:val="28"/>
          <w:szCs w:val="28"/>
          <w:lang w:val="en-US" w:eastAsia="zh-CN"/>
        </w:rPr>
        <w:t>﹞</w:t>
      </w:r>
      <w:r>
        <w:rPr>
          <w:rFonts w:hint="eastAsia" w:ascii="仿宋_GB2312" w:hAnsi="楷体" w:eastAsia="仿宋_GB2312"/>
          <w:sz w:val="28"/>
          <w:szCs w:val="28"/>
        </w:rPr>
        <w:t>研字24号）、《西北大学研究生在读期间科研成</w:t>
      </w:r>
      <w:r>
        <w:rPr>
          <w:rFonts w:hint="eastAsia" w:ascii="仿宋_GB2312" w:hAnsi="楷体" w:eastAsia="仿宋_GB2312"/>
          <w:sz w:val="28"/>
          <w:szCs w:val="28"/>
          <w:lang w:eastAsia="zh-CN"/>
        </w:rPr>
        <w:t>果</w:t>
      </w:r>
      <w:r>
        <w:rPr>
          <w:rFonts w:hint="eastAsia" w:ascii="仿宋_GB2312" w:hAnsi="楷体" w:eastAsia="仿宋_GB2312"/>
          <w:sz w:val="28"/>
          <w:szCs w:val="28"/>
        </w:rPr>
        <w:t>规定》（</w:t>
      </w:r>
      <w:r>
        <w:rPr>
          <w:rFonts w:hint="eastAsia" w:ascii="仿宋_GB2312" w:hAnsi="楷体" w:eastAsia="仿宋_GB2312"/>
          <w:sz w:val="28"/>
          <w:szCs w:val="28"/>
          <w:lang w:val="en-US" w:eastAsia="zh-CN"/>
        </w:rPr>
        <w:t>西大研﹝</w:t>
      </w:r>
      <w:r>
        <w:rPr>
          <w:rFonts w:hint="default" w:ascii="仿宋_GB2312" w:hAnsi="楷体" w:eastAsia="仿宋_GB2312"/>
          <w:sz w:val="28"/>
          <w:szCs w:val="28"/>
          <w:lang w:val="en-US" w:eastAsia="zh-CN"/>
        </w:rPr>
        <w:t>2016</w:t>
      </w:r>
      <w:r>
        <w:rPr>
          <w:rFonts w:hint="eastAsia" w:ascii="仿宋_GB2312" w:hAnsi="楷体" w:eastAsia="仿宋_GB2312"/>
          <w:sz w:val="28"/>
          <w:szCs w:val="28"/>
          <w:lang w:val="en-US" w:eastAsia="zh-CN"/>
        </w:rPr>
        <w:t>﹞</w:t>
      </w:r>
      <w:r>
        <w:rPr>
          <w:rFonts w:hint="default" w:ascii="仿宋_GB2312" w:hAnsi="楷体" w:eastAsia="仿宋_GB2312"/>
          <w:sz w:val="28"/>
          <w:szCs w:val="28"/>
          <w:lang w:val="en-US" w:eastAsia="zh-CN"/>
        </w:rPr>
        <w:t>2</w:t>
      </w:r>
      <w:r>
        <w:rPr>
          <w:rFonts w:hint="eastAsia" w:ascii="仿宋_GB2312" w:hAnsi="楷体" w:eastAsia="仿宋_GB2312"/>
          <w:sz w:val="28"/>
          <w:szCs w:val="28"/>
        </w:rPr>
        <w:t>号）文件中的有关规定，提出具体要求。</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八、</w:t>
      </w:r>
      <w:r>
        <w:rPr>
          <w:rFonts w:hint="eastAsia" w:ascii="仿宋_GB2312" w:eastAsia="仿宋_GB2312"/>
          <w:sz w:val="28"/>
          <w:szCs w:val="28"/>
        </w:rPr>
        <w:t>课程简介及教学大纲</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列入培养方案中的课程要求编写课程简介及</w:t>
      </w:r>
      <w:r>
        <w:rPr>
          <w:rFonts w:hint="eastAsia" w:ascii="仿宋_GB2312" w:hAnsi="楷体" w:eastAsia="仿宋_GB2312"/>
          <w:sz w:val="28"/>
          <w:szCs w:val="28"/>
          <w:lang w:eastAsia="zh-CN"/>
        </w:rPr>
        <w:t>中英文</w:t>
      </w:r>
      <w:r>
        <w:rPr>
          <w:rFonts w:hint="eastAsia" w:ascii="仿宋_GB2312" w:hAnsi="楷体" w:eastAsia="仿宋_GB2312"/>
          <w:sz w:val="28"/>
          <w:szCs w:val="28"/>
        </w:rPr>
        <w:t>教学大纲。教学大纲包括课程编码、课程名称、学时、学分、教学方式、考试方式、适用专业、先修课程、教学内容、参考文献等，同时教学大纲还应写明各章节主要教学内容和学时分配。</w:t>
      </w:r>
    </w:p>
    <w:p>
      <w:pPr>
        <w:pStyle w:val="3"/>
        <w:spacing w:before="0" w:after="0" w:line="560" w:lineRule="exact"/>
        <w:ind w:firstLine="562" w:firstLineChars="200"/>
        <w:rPr>
          <w:rFonts w:hint="eastAsia" w:ascii="仿宋_GB2312" w:eastAsia="仿宋_GB2312"/>
          <w:sz w:val="28"/>
          <w:szCs w:val="28"/>
        </w:rPr>
      </w:pPr>
      <w:r>
        <w:rPr>
          <w:rFonts w:hint="eastAsia" w:ascii="仿宋_GB2312" w:eastAsia="仿宋_GB2312"/>
          <w:sz w:val="28"/>
          <w:szCs w:val="28"/>
          <w:lang w:eastAsia="zh-CN"/>
        </w:rPr>
        <w:t>九、</w:t>
      </w:r>
      <w:r>
        <w:rPr>
          <w:rFonts w:hint="eastAsia" w:ascii="仿宋_GB2312" w:eastAsia="仿宋_GB2312"/>
          <w:sz w:val="28"/>
          <w:szCs w:val="28"/>
        </w:rPr>
        <w:t>专业课程编码规则</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 xml:space="preserve">1.研究生专业课程管理由课程开设单位编码，并进行课程和成绩管理；                                                                                                   </w:t>
      </w:r>
      <w:r>
        <w:rPr>
          <w:rFonts w:hint="eastAsia" w:ascii="仿宋_GB2312" w:hAnsi="楷体" w:eastAsia="仿宋_GB2312"/>
          <w:sz w:val="28"/>
          <w:szCs w:val="28"/>
        </w:rPr>
        <w:br w:type="textWrapping"/>
      </w:r>
      <w:r>
        <w:rPr>
          <w:rFonts w:hint="eastAsia" w:ascii="仿宋_GB2312" w:hAnsi="楷体" w:eastAsia="仿宋_GB2312"/>
          <w:sz w:val="28"/>
          <w:szCs w:val="28"/>
        </w:rPr>
        <w:t xml:space="preserve">    2.编码方法如下:</w:t>
      </w:r>
    </w:p>
    <w:p>
      <w:pPr>
        <w:spacing w:line="560" w:lineRule="exact"/>
        <w:ind w:firstLine="560" w:firstLineChars="200"/>
        <w:rPr>
          <w:rFonts w:hint="eastAsia" w:ascii="仿宋_GB2312" w:hAnsi="楷体" w:eastAsia="仿宋_GB2312"/>
          <w:sz w:val="28"/>
          <w:szCs w:val="28"/>
        </w:rPr>
      </w:pPr>
      <w:r>
        <w:rPr>
          <w:rFonts w:hint="eastAsia" w:ascii="仿宋_GB2312" w:hAnsi="楷体" w:eastAsia="仿宋_GB2312"/>
          <w:sz w:val="28"/>
          <w:szCs w:val="28"/>
        </w:rPr>
        <w:t xml:space="preserve">博士课程：B+培养单位代码+流水号（流水号从001开始）； </w:t>
      </w:r>
    </w:p>
    <w:p>
      <w:pPr>
        <w:spacing w:line="560" w:lineRule="exact"/>
        <w:ind w:firstLine="560" w:firstLineChars="200"/>
        <w:rPr>
          <w:rFonts w:hint="eastAsia" w:ascii="仿宋_GB2312" w:hAnsi="楷体" w:eastAsia="仿宋_GB2312"/>
          <w:sz w:val="28"/>
          <w:szCs w:val="28"/>
          <w:lang w:eastAsia="zh-CN"/>
        </w:rPr>
      </w:pPr>
      <w:r>
        <w:rPr>
          <w:rFonts w:hint="eastAsia" w:ascii="仿宋_GB2312" w:hAnsi="楷体" w:eastAsia="仿宋_GB2312"/>
          <w:sz w:val="28"/>
          <w:szCs w:val="28"/>
        </w:rPr>
        <w:t xml:space="preserve">硕士课程：S+培养单位代码+流水号（流水号从001开始）；                                                                                </w:t>
      </w:r>
      <w:r>
        <w:rPr>
          <w:rFonts w:hint="eastAsia" w:ascii="仿宋_GB2312" w:hAnsi="楷体" w:eastAsia="仿宋_GB2312"/>
          <w:sz w:val="28"/>
          <w:szCs w:val="28"/>
        </w:rPr>
        <w:br w:type="textWrapping"/>
      </w:r>
      <w:r>
        <w:rPr>
          <w:rFonts w:hint="eastAsia" w:ascii="仿宋_GB2312" w:hAnsi="楷体" w:eastAsia="仿宋_GB2312"/>
          <w:sz w:val="28"/>
          <w:szCs w:val="28"/>
        </w:rPr>
        <w:t xml:space="preserve">    3.培养单位名称及代码见</w:t>
      </w:r>
      <w:r>
        <w:rPr>
          <w:rFonts w:hint="eastAsia" w:ascii="仿宋_GB2312" w:hAnsi="楷体" w:eastAsia="仿宋_GB2312"/>
          <w:sz w:val="28"/>
          <w:szCs w:val="28"/>
          <w:lang w:eastAsia="zh-CN"/>
        </w:rPr>
        <w:t>下表</w:t>
      </w:r>
    </w:p>
    <w:p>
      <w:pPr>
        <w:spacing w:line="560" w:lineRule="exact"/>
        <w:ind w:firstLine="482" w:firstLineChars="200"/>
        <w:jc w:val="center"/>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表</w:t>
      </w:r>
      <w:r>
        <w:rPr>
          <w:rFonts w:hint="eastAsia" w:ascii="黑体" w:hAnsi="黑体" w:eastAsia="黑体" w:cs="黑体"/>
          <w:b/>
          <w:bCs/>
          <w:sz w:val="24"/>
          <w:szCs w:val="24"/>
          <w:lang w:val="en-US" w:eastAsia="zh-CN"/>
        </w:rPr>
        <w:t xml:space="preserve">2 </w:t>
      </w:r>
      <w:r>
        <w:rPr>
          <w:rFonts w:hint="eastAsia" w:ascii="黑体" w:hAnsi="黑体" w:eastAsia="黑体" w:cs="黑体"/>
          <w:b/>
          <w:bCs/>
          <w:sz w:val="24"/>
          <w:szCs w:val="24"/>
        </w:rPr>
        <w:t>培养单位名称及代码</w:t>
      </w:r>
    </w:p>
    <w:tbl>
      <w:tblPr>
        <w:tblStyle w:val="11"/>
        <w:tblW w:w="8295" w:type="dxa"/>
        <w:jc w:val="center"/>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80"/>
        <w:gridCol w:w="1280"/>
        <w:gridCol w:w="297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单位名称 </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单位代码</w:t>
            </w:r>
          </w:p>
        </w:tc>
        <w:tc>
          <w:tcPr>
            <w:tcW w:w="2975" w:type="dxa"/>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单位名称 </w:t>
            </w:r>
          </w:p>
        </w:tc>
        <w:tc>
          <w:tcPr>
            <w:tcW w:w="1260" w:type="dxa"/>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单位代码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公共管理学院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001</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数学</w:t>
            </w:r>
            <w:r>
              <w:rPr>
                <w:rFonts w:hint="eastAsia" w:ascii="仿宋_GB2312" w:eastAsia="仿宋_GB2312"/>
                <w:color w:val="000000"/>
                <w:sz w:val="28"/>
                <w:szCs w:val="28"/>
                <w:lang w:eastAsia="zh-CN"/>
              </w:rPr>
              <w:t>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经济管理学院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002</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物理学</w:t>
            </w:r>
            <w:r>
              <w:rPr>
                <w:rFonts w:hint="eastAsia" w:ascii="仿宋_GB2312" w:eastAsia="仿宋_GB2312"/>
                <w:color w:val="000000"/>
                <w:sz w:val="28"/>
                <w:szCs w:val="28"/>
                <w:lang w:eastAsia="zh-CN"/>
              </w:rPr>
              <w:t>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艺术学院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003</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现代物理研究所</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文学院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004</w:t>
            </w:r>
          </w:p>
        </w:tc>
        <w:tc>
          <w:tcPr>
            <w:tcW w:w="2975" w:type="dxa"/>
            <w:vAlign w:val="center"/>
          </w:tcPr>
          <w:p>
            <w:pPr>
              <w:jc w:val="center"/>
              <w:rPr>
                <w:rFonts w:hint="eastAsia" w:ascii="仿宋_GB2312" w:hAnsi="宋体" w:eastAsia="仿宋_GB2312" w:cs="宋体"/>
                <w:color w:val="000000"/>
                <w:w w:val="90"/>
                <w:sz w:val="28"/>
                <w:szCs w:val="28"/>
              </w:rPr>
            </w:pPr>
            <w:r>
              <w:rPr>
                <w:rFonts w:hint="eastAsia" w:ascii="仿宋_GB2312" w:eastAsia="仿宋_GB2312"/>
                <w:color w:val="000000"/>
                <w:w w:val="90"/>
                <w:sz w:val="28"/>
                <w:szCs w:val="28"/>
              </w:rPr>
              <w:t>光子学与光子技术研究所</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法学院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005</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化学与材料科学学院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新闻</w:t>
            </w:r>
            <w:r>
              <w:rPr>
                <w:rFonts w:hint="eastAsia" w:ascii="仿宋_GB2312" w:hAnsi="宋体" w:eastAsia="仿宋_GB2312" w:cs="宋体"/>
                <w:color w:val="000000"/>
                <w:kern w:val="0"/>
                <w:sz w:val="28"/>
                <w:szCs w:val="28"/>
                <w:lang w:eastAsia="zh-CN"/>
              </w:rPr>
              <w:t>传播</w:t>
            </w:r>
            <w:r>
              <w:rPr>
                <w:rFonts w:hint="eastAsia" w:ascii="仿宋_GB2312" w:hAnsi="宋体" w:eastAsia="仿宋_GB2312" w:cs="宋体"/>
                <w:color w:val="000000"/>
                <w:kern w:val="0"/>
                <w:sz w:val="28"/>
                <w:szCs w:val="28"/>
              </w:rPr>
              <w:t>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006</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化工学院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外国语学院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007</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城市与环境学院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马克思主义</w:t>
            </w:r>
            <w:r>
              <w:rPr>
                <w:rFonts w:hint="eastAsia" w:ascii="仿宋_GB2312" w:hAnsi="宋体" w:eastAsia="仿宋_GB2312" w:cs="宋体"/>
                <w:color w:val="000000"/>
                <w:kern w:val="0"/>
                <w:sz w:val="28"/>
                <w:szCs w:val="28"/>
              </w:rPr>
              <w:t>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008</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生命科学学院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文化遗产学院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009</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信息科学与技术学院</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历史学院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010</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现代教育技术中心</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lang w:eastAsia="zh-CN"/>
              </w:rPr>
              <w:t>丝绸之路研究院</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011</w:t>
            </w:r>
          </w:p>
        </w:tc>
        <w:tc>
          <w:tcPr>
            <w:tcW w:w="2975"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地质学系</w:t>
            </w:r>
          </w:p>
        </w:tc>
        <w:tc>
          <w:tcPr>
            <w:tcW w:w="1260" w:type="dxa"/>
            <w:vAlign w:val="center"/>
          </w:tcPr>
          <w:p>
            <w:pPr>
              <w:jc w:val="center"/>
              <w:rPr>
                <w:rFonts w:hint="eastAsia" w:ascii="仿宋_GB2312" w:hAnsi="宋体" w:eastAsia="仿宋_GB2312" w:cs="宋体"/>
                <w:color w:val="000000"/>
                <w:sz w:val="28"/>
                <w:szCs w:val="28"/>
              </w:rPr>
            </w:pPr>
            <w:r>
              <w:rPr>
                <w:rFonts w:hint="eastAsia" w:ascii="仿宋_GB2312" w:eastAsia="仿宋_GB2312"/>
                <w:color w:val="000000"/>
                <w:sz w:val="28"/>
                <w:szCs w:val="28"/>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中东研究所</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012</w:t>
            </w:r>
          </w:p>
        </w:tc>
        <w:tc>
          <w:tcPr>
            <w:tcW w:w="2975" w:type="dxa"/>
            <w:vAlign w:val="center"/>
          </w:tcPr>
          <w:p>
            <w:pPr>
              <w:jc w:val="center"/>
              <w:rPr>
                <w:rFonts w:hint="eastAsia" w:ascii="仿宋_GB2312" w:hAnsi="宋体" w:eastAsia="仿宋_GB2312" w:cs="宋体"/>
                <w:color w:val="000000"/>
                <w:sz w:val="28"/>
                <w:szCs w:val="28"/>
                <w:lang w:eastAsia="zh-CN"/>
              </w:rPr>
            </w:pPr>
            <w:r>
              <w:rPr>
                <w:rFonts w:hint="eastAsia" w:ascii="仿宋_GB2312" w:hAnsi="宋体" w:eastAsia="仿宋_GB2312" w:cs="宋体"/>
                <w:color w:val="000000"/>
                <w:sz w:val="28"/>
                <w:szCs w:val="28"/>
                <w:lang w:eastAsia="zh-CN"/>
              </w:rPr>
              <w:t>食品科学与工程学院</w:t>
            </w:r>
          </w:p>
        </w:tc>
        <w:tc>
          <w:tcPr>
            <w:tcW w:w="1260" w:type="dxa"/>
            <w:vAlign w:val="center"/>
          </w:tcPr>
          <w:p>
            <w:pPr>
              <w:jc w:val="center"/>
              <w:rPr>
                <w:rFonts w:hint="eastAsia" w:ascii="仿宋_GB2312" w:hAnsi="宋体" w:eastAsia="仿宋_GB2312" w:cs="宋体"/>
                <w:color w:val="000000"/>
                <w:sz w:val="28"/>
                <w:szCs w:val="28"/>
                <w:lang w:val="en-US" w:eastAsia="zh-CN"/>
              </w:rPr>
            </w:pPr>
            <w:r>
              <w:rPr>
                <w:rFonts w:hint="eastAsia" w:ascii="仿宋_GB2312" w:hAnsi="宋体" w:eastAsia="仿宋_GB2312" w:cs="宋体"/>
                <w:color w:val="000000"/>
                <w:sz w:val="28"/>
                <w:szCs w:val="28"/>
                <w:lang w:val="en-US" w:eastAsia="zh-CN"/>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0" w:hRule="atLeast"/>
          <w:jc w:val="center"/>
        </w:trPr>
        <w:tc>
          <w:tcPr>
            <w:tcW w:w="27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中国思想文化研究所</w:t>
            </w:r>
          </w:p>
        </w:tc>
        <w:tc>
          <w:tcPr>
            <w:tcW w:w="1280" w:type="dxa"/>
            <w:shd w:val="clear" w:color="auto" w:fill="auto"/>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013</w:t>
            </w:r>
          </w:p>
        </w:tc>
        <w:tc>
          <w:tcPr>
            <w:tcW w:w="2975" w:type="dxa"/>
            <w:vAlign w:val="center"/>
          </w:tcPr>
          <w:p>
            <w:pPr>
              <w:jc w:val="center"/>
              <w:rPr>
                <w:rFonts w:hint="eastAsia" w:ascii="仿宋_GB2312" w:hAnsi="宋体" w:eastAsia="仿宋_GB2312" w:cs="宋体"/>
                <w:color w:val="000000"/>
                <w:sz w:val="28"/>
                <w:szCs w:val="28"/>
                <w:lang w:eastAsia="zh-CN"/>
              </w:rPr>
            </w:pPr>
            <w:r>
              <w:rPr>
                <w:rFonts w:hint="eastAsia" w:ascii="仿宋_GB2312" w:hAnsi="宋体" w:eastAsia="仿宋_GB2312" w:cs="宋体"/>
                <w:color w:val="000000"/>
                <w:sz w:val="28"/>
                <w:szCs w:val="28"/>
                <w:lang w:eastAsia="zh-CN"/>
              </w:rPr>
              <w:t>哲学学院</w:t>
            </w:r>
          </w:p>
        </w:tc>
        <w:tc>
          <w:tcPr>
            <w:tcW w:w="1260" w:type="dxa"/>
            <w:vAlign w:val="center"/>
          </w:tcPr>
          <w:p>
            <w:pPr>
              <w:jc w:val="center"/>
              <w:rPr>
                <w:rFonts w:hint="eastAsia" w:ascii="仿宋_GB2312" w:hAnsi="宋体" w:eastAsia="仿宋_GB2312" w:cs="宋体"/>
                <w:color w:val="000000"/>
                <w:sz w:val="28"/>
                <w:szCs w:val="28"/>
                <w:lang w:val="en-US" w:eastAsia="zh-CN"/>
              </w:rPr>
            </w:pPr>
            <w:r>
              <w:rPr>
                <w:rFonts w:hint="eastAsia" w:ascii="仿宋_GB2312" w:hAnsi="宋体" w:eastAsia="仿宋_GB2312" w:cs="宋体"/>
                <w:color w:val="000000"/>
                <w:sz w:val="28"/>
                <w:szCs w:val="28"/>
                <w:lang w:val="en-US" w:eastAsia="zh-CN"/>
              </w:rPr>
              <w:t>033</w:t>
            </w:r>
          </w:p>
        </w:tc>
      </w:tr>
    </w:tbl>
    <w:p>
      <w:pPr>
        <w:topLinePunct/>
        <w:spacing w:line="360" w:lineRule="auto"/>
        <w:ind w:firstLine="440" w:firstLineChars="200"/>
        <w:contextualSpacing/>
        <w:textAlignment w:val="top"/>
        <w:rPr>
          <w:rFonts w:ascii="宋体" w:hAnsi="宋体"/>
          <w:sz w:val="22"/>
          <w:szCs w:val="22"/>
        </w:rPr>
      </w:pPr>
    </w:p>
    <w:sectPr>
      <w:footerReference r:id="rId3" w:type="default"/>
      <w:pgSz w:w="11906" w:h="16838"/>
      <w:pgMar w:top="1440" w:right="1247" w:bottom="1440" w:left="124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2FF" w:usb1="420024FF" w:usb2="00000000" w:usb3="00000000" w:csb0="2000019F" w:csb1="00000000"/>
  </w:font>
  <w:font w:name="@仿宋">
    <w:panose1 w:val="02010609060101010101"/>
    <w:charset w:val="86"/>
    <w:family w:val="auto"/>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Theme="minorEastAsia" w:hAnsiTheme="minorEastAsia" w:eastAsiaTheme="minorEastAsia"/>
        <w:b/>
      </w:rPr>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7"/>
                  <w:jc w:val="right"/>
                </w:pPr>
                <w:r>
                  <w:rPr>
                    <w:rFonts w:hint="eastAsia" w:asciiTheme="minorEastAsia" w:hAnsiTheme="minorEastAsia" w:eastAsiaTheme="minorEastAsia"/>
                    <w:b/>
                  </w:rPr>
                  <w:t>第</w:t>
                </w:r>
                <w:sdt>
                  <w:sdtPr>
                    <w:rPr>
                      <w:rFonts w:asciiTheme="minorEastAsia" w:hAnsiTheme="minorEastAsia" w:eastAsiaTheme="minorEastAsia"/>
                      <w:b/>
                    </w:rPr>
                    <w:id w:val="-2123761002"/>
                    <w:docPartObj>
                      <w:docPartGallery w:val="autotext"/>
                    </w:docPartObj>
                  </w:sdtPr>
                  <w:sdtEndPr>
                    <w:rPr>
                      <w:rFonts w:asciiTheme="minorEastAsia" w:hAnsiTheme="minorEastAsia" w:eastAsiaTheme="minorEastAsia"/>
                      <w:b/>
                    </w:rPr>
                  </w:sdtEndPr>
                  <w:sdtContent>
                    <w:r>
                      <w:rPr>
                        <w:rFonts w:asciiTheme="minorEastAsia" w:hAnsiTheme="minorEastAsia" w:eastAsiaTheme="minorEastAsia"/>
                        <w:b/>
                      </w:rPr>
                      <w:fldChar w:fldCharType="begin"/>
                    </w:r>
                    <w:r>
                      <w:rPr>
                        <w:rFonts w:asciiTheme="minorEastAsia" w:hAnsiTheme="minorEastAsia" w:eastAsiaTheme="minorEastAsia"/>
                        <w:b/>
                      </w:rPr>
                      <w:instrText xml:space="preserve">PAGE   \* MERGEFORMAT</w:instrText>
                    </w:r>
                    <w:r>
                      <w:rPr>
                        <w:rFonts w:asciiTheme="minorEastAsia" w:hAnsiTheme="minorEastAsia" w:eastAsiaTheme="minorEastAsia"/>
                        <w:b/>
                      </w:rPr>
                      <w:fldChar w:fldCharType="separate"/>
                    </w:r>
                    <w:r>
                      <w:rPr>
                        <w:rFonts w:asciiTheme="minorEastAsia" w:hAnsiTheme="minorEastAsia" w:eastAsiaTheme="minorEastAsia"/>
                        <w:b/>
                        <w:lang w:val="zh-CN"/>
                      </w:rPr>
                      <w:t>5</w:t>
                    </w:r>
                    <w:r>
                      <w:rPr>
                        <w:rFonts w:asciiTheme="minorEastAsia" w:hAnsiTheme="minorEastAsia" w:eastAsiaTheme="minorEastAsia"/>
                        <w:b/>
                      </w:rPr>
                      <w:fldChar w:fldCharType="end"/>
                    </w:r>
                    <w:r>
                      <w:rPr>
                        <w:rFonts w:hint="eastAsia" w:asciiTheme="minorEastAsia" w:hAnsiTheme="minorEastAsia" w:eastAsiaTheme="minorEastAsia"/>
                        <w:b/>
                      </w:rPr>
                      <w:t>页 共5页</w:t>
                    </w:r>
                  </w:sdtContent>
                </w:sdt>
              </w:p>
            </w:txbxContent>
          </v:textbox>
        </v:shape>
      </w:pic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B2A03"/>
    <w:multiLevelType w:val="singleLevel"/>
    <w:tmpl w:val="5AAB2A03"/>
    <w:lvl w:ilvl="0" w:tentative="0">
      <w:start w:val="1"/>
      <w:numFmt w:val="decimal"/>
      <w:lvlText w:val="%1."/>
      <w:lvlJc w:val="left"/>
      <w:pPr>
        <w:tabs>
          <w:tab w:val="left" w:pos="312"/>
        </w:tabs>
      </w:pPr>
    </w:lvl>
  </w:abstractNum>
  <w:abstractNum w:abstractNumId="1">
    <w:nsid w:val="5AAB2A34"/>
    <w:multiLevelType w:val="singleLevel"/>
    <w:tmpl w:val="5AAB2A3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B3E58"/>
    <w:rsid w:val="00060708"/>
    <w:rsid w:val="000B595D"/>
    <w:rsid w:val="000C558D"/>
    <w:rsid w:val="00111B4C"/>
    <w:rsid w:val="00122508"/>
    <w:rsid w:val="00142D2E"/>
    <w:rsid w:val="001777F0"/>
    <w:rsid w:val="001926F8"/>
    <w:rsid w:val="001A71D1"/>
    <w:rsid w:val="001F059D"/>
    <w:rsid w:val="0020464A"/>
    <w:rsid w:val="0029595D"/>
    <w:rsid w:val="002C4997"/>
    <w:rsid w:val="003013B9"/>
    <w:rsid w:val="00330286"/>
    <w:rsid w:val="00345E3B"/>
    <w:rsid w:val="003553CD"/>
    <w:rsid w:val="003A7F22"/>
    <w:rsid w:val="003C3F2B"/>
    <w:rsid w:val="003C5034"/>
    <w:rsid w:val="003E5F1B"/>
    <w:rsid w:val="004234A1"/>
    <w:rsid w:val="0046740C"/>
    <w:rsid w:val="004D0C41"/>
    <w:rsid w:val="00567E6A"/>
    <w:rsid w:val="005A1777"/>
    <w:rsid w:val="005A6665"/>
    <w:rsid w:val="005F6873"/>
    <w:rsid w:val="00605938"/>
    <w:rsid w:val="00616643"/>
    <w:rsid w:val="00647B30"/>
    <w:rsid w:val="00657B43"/>
    <w:rsid w:val="006653F1"/>
    <w:rsid w:val="006E50E8"/>
    <w:rsid w:val="006F60FE"/>
    <w:rsid w:val="0072446E"/>
    <w:rsid w:val="0074412E"/>
    <w:rsid w:val="00745482"/>
    <w:rsid w:val="007A0CAB"/>
    <w:rsid w:val="007A6621"/>
    <w:rsid w:val="007B5AE8"/>
    <w:rsid w:val="007F01B4"/>
    <w:rsid w:val="00806B4F"/>
    <w:rsid w:val="00846964"/>
    <w:rsid w:val="008801AC"/>
    <w:rsid w:val="008875B2"/>
    <w:rsid w:val="008D30E2"/>
    <w:rsid w:val="008E12D4"/>
    <w:rsid w:val="008F64E5"/>
    <w:rsid w:val="009F1A55"/>
    <w:rsid w:val="00A213BA"/>
    <w:rsid w:val="00A32C0F"/>
    <w:rsid w:val="00AC28B1"/>
    <w:rsid w:val="00B173CE"/>
    <w:rsid w:val="00B7329D"/>
    <w:rsid w:val="00BA105B"/>
    <w:rsid w:val="00BA6907"/>
    <w:rsid w:val="00BB1A70"/>
    <w:rsid w:val="00BE485F"/>
    <w:rsid w:val="00C70475"/>
    <w:rsid w:val="00CB1BA0"/>
    <w:rsid w:val="00CB3E58"/>
    <w:rsid w:val="00CB6410"/>
    <w:rsid w:val="00CE2CE7"/>
    <w:rsid w:val="00D1576B"/>
    <w:rsid w:val="00D7532E"/>
    <w:rsid w:val="00D82F09"/>
    <w:rsid w:val="00D8380F"/>
    <w:rsid w:val="00DC400C"/>
    <w:rsid w:val="00E077A0"/>
    <w:rsid w:val="00E078FE"/>
    <w:rsid w:val="00E15787"/>
    <w:rsid w:val="00E204F8"/>
    <w:rsid w:val="00E2450C"/>
    <w:rsid w:val="00E27587"/>
    <w:rsid w:val="00E60785"/>
    <w:rsid w:val="00E93B36"/>
    <w:rsid w:val="00EA22FF"/>
    <w:rsid w:val="00EB4A13"/>
    <w:rsid w:val="00ED2805"/>
    <w:rsid w:val="00F0617E"/>
    <w:rsid w:val="00F2075A"/>
    <w:rsid w:val="00F41A04"/>
    <w:rsid w:val="00F637A5"/>
    <w:rsid w:val="00F66BC8"/>
    <w:rsid w:val="00F74210"/>
    <w:rsid w:val="00F75089"/>
    <w:rsid w:val="00FB3BE1"/>
    <w:rsid w:val="00FD771A"/>
    <w:rsid w:val="00FE67DA"/>
    <w:rsid w:val="114827DC"/>
    <w:rsid w:val="14F464DC"/>
    <w:rsid w:val="30F91296"/>
    <w:rsid w:val="41980689"/>
    <w:rsid w:val="45A578C6"/>
    <w:rsid w:val="4B332589"/>
    <w:rsid w:val="50123711"/>
    <w:rsid w:val="537518AE"/>
    <w:rsid w:val="55126066"/>
    <w:rsid w:val="56EE1EDD"/>
    <w:rsid w:val="646B64D4"/>
    <w:rsid w:val="696C2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uiPriority w:val="1"/>
  </w:style>
  <w:style w:type="table" w:default="1" w:styleId="11">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4">
    <w:name w:val="annotation subject"/>
    <w:basedOn w:val="5"/>
    <w:next w:val="5"/>
    <w:link w:val="18"/>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6"/>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
    <w:name w:val="List Paragraph"/>
    <w:basedOn w:val="1"/>
    <w:qFormat/>
    <w:uiPriority w:val="0"/>
    <w:pPr>
      <w:ind w:firstLine="420" w:firstLineChars="200"/>
    </w:pPr>
    <w:rPr>
      <w:rFonts w:ascii="Calibri" w:hAnsi="Calibri"/>
      <w:szCs w:val="22"/>
    </w:rPr>
  </w:style>
  <w:style w:type="character" w:customStyle="1" w:styleId="14">
    <w:name w:val="页眉 Char"/>
    <w:basedOn w:val="9"/>
    <w:link w:val="8"/>
    <w:qFormat/>
    <w:uiPriority w:val="99"/>
    <w:rPr>
      <w:rFonts w:ascii="Times New Roman" w:hAnsi="Times New Roman" w:eastAsia="宋体" w:cs="Times New Roman"/>
      <w:sz w:val="18"/>
      <w:szCs w:val="18"/>
    </w:rPr>
  </w:style>
  <w:style w:type="character" w:customStyle="1" w:styleId="15">
    <w:name w:val="页脚 Char"/>
    <w:basedOn w:val="9"/>
    <w:link w:val="7"/>
    <w:qFormat/>
    <w:uiPriority w:val="99"/>
    <w:rPr>
      <w:rFonts w:ascii="Times New Roman" w:hAnsi="Times New Roman" w:eastAsia="宋体" w:cs="Times New Roman"/>
      <w:sz w:val="18"/>
      <w:szCs w:val="18"/>
    </w:rPr>
  </w:style>
  <w:style w:type="character" w:customStyle="1" w:styleId="16">
    <w:name w:val="批注框文本 Char"/>
    <w:basedOn w:val="9"/>
    <w:link w:val="6"/>
    <w:semiHidden/>
    <w:qFormat/>
    <w:uiPriority w:val="99"/>
    <w:rPr>
      <w:rFonts w:ascii="Times New Roman" w:hAnsi="Times New Roman" w:eastAsia="宋体" w:cs="Times New Roman"/>
      <w:sz w:val="18"/>
      <w:szCs w:val="18"/>
    </w:rPr>
  </w:style>
  <w:style w:type="character" w:customStyle="1" w:styleId="17">
    <w:name w:val="批注文字 Char"/>
    <w:basedOn w:val="9"/>
    <w:link w:val="5"/>
    <w:semiHidden/>
    <w:qFormat/>
    <w:uiPriority w:val="99"/>
    <w:rPr>
      <w:rFonts w:ascii="Times New Roman" w:hAnsi="Times New Roman" w:eastAsia="宋体" w:cs="Times New Roman"/>
      <w:szCs w:val="20"/>
    </w:rPr>
  </w:style>
  <w:style w:type="character" w:customStyle="1" w:styleId="18">
    <w:name w:val="批注主题 Char"/>
    <w:basedOn w:val="17"/>
    <w:link w:val="4"/>
    <w:semiHidden/>
    <w:qFormat/>
    <w:uiPriority w:val="99"/>
    <w:rPr>
      <w:rFonts w:ascii="Times New Roman" w:hAnsi="Times New Roman" w:eastAsia="宋体" w:cs="Times New Roman"/>
      <w:b/>
      <w:bCs/>
      <w:szCs w:val="20"/>
    </w:rPr>
  </w:style>
  <w:style w:type="paragraph" w:customStyle="1" w:styleId="19">
    <w:name w:val="样式 标题 2 + 首行缩进:  2 字符 段前: 0.2 行 段后: 0.2 行2"/>
    <w:basedOn w:val="2"/>
    <w:qFormat/>
    <w:uiPriority w:val="0"/>
    <w:pPr>
      <w:spacing w:before="156" w:beforeLines="50" w:after="156" w:afterLines="50" w:line="360" w:lineRule="auto"/>
      <w:ind w:firstLine="480" w:firstLineChars="200"/>
      <w:jc w:val="left"/>
    </w:pPr>
    <w:rPr>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555</Words>
  <Characters>3166</Characters>
  <Lines>26</Lines>
  <Paragraphs>7</Paragraphs>
  <ScaleCrop>false</ScaleCrop>
  <LinksUpToDate>false</LinksUpToDate>
  <CharactersWithSpaces>3714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2016-05-02T01:46:00Z</dcterms:created>
  <dc:creator>tangsj</dc:creator>
  <cp:lastModifiedBy>herbert_wh</cp:lastModifiedBy>
  <cp:lastPrinted>2018-05-24T02:23:12Z</cp:lastPrinted>
  <dcterms:modified xsi:type="dcterms:W3CDTF">2018-05-24T02:37:55Z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